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00" w:rsidRDefault="00503600" w:rsidP="00CE5A66">
      <w:pPr>
        <w:pStyle w:val="NoSpacing"/>
        <w:spacing w:before="120" w:line="240" w:lineRule="exact"/>
        <w:rPr>
          <w:rFonts w:ascii="Arial" w:hAnsi="Arial" w:cs="Arial"/>
          <w:b/>
          <w:sz w:val="24"/>
          <w:szCs w:val="24"/>
        </w:rPr>
      </w:pPr>
      <w:r>
        <w:rPr>
          <w:rFonts w:ascii="Arial" w:hAnsi="Arial" w:cs="Arial"/>
          <w:b/>
          <w:sz w:val="24"/>
          <w:szCs w:val="24"/>
        </w:rPr>
        <w:t>AL Glossar</w:t>
      </w:r>
    </w:p>
    <w:p w:rsidR="00503600" w:rsidRDefault="00503600" w:rsidP="00CE5A66">
      <w:pPr>
        <w:pStyle w:val="NoSpacing"/>
        <w:spacing w:before="120" w:line="240" w:lineRule="exact"/>
        <w:rPr>
          <w:rFonts w:ascii="Arial" w:hAnsi="Arial" w:cs="Arial"/>
          <w:b/>
          <w:sz w:val="20"/>
          <w:szCs w:val="20"/>
        </w:rPr>
      </w:pPr>
    </w:p>
    <w:tbl>
      <w:tblPr>
        <w:tblW w:w="9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5"/>
        <w:gridCol w:w="7581"/>
      </w:tblGrid>
      <w:tr w:rsidR="00503600" w:rsidRPr="002C7CD6">
        <w:tc>
          <w:tcPr>
            <w:tcW w:w="2195" w:type="dxa"/>
          </w:tcPr>
          <w:p w:rsidR="00503600" w:rsidRPr="002C7CD6" w:rsidRDefault="00503600" w:rsidP="002C7CD6">
            <w:pPr>
              <w:spacing w:before="120" w:after="120" w:line="240" w:lineRule="exact"/>
              <w:rPr>
                <w:b/>
              </w:rPr>
            </w:pPr>
            <w:r w:rsidRPr="002C7CD6">
              <w:rPr>
                <w:b/>
              </w:rPr>
              <w:t>Begriff</w:t>
            </w:r>
          </w:p>
        </w:tc>
        <w:tc>
          <w:tcPr>
            <w:tcW w:w="7581" w:type="dxa"/>
          </w:tcPr>
          <w:p w:rsidR="00503600" w:rsidRPr="002C7CD6" w:rsidRDefault="00503600" w:rsidP="002C7CD6">
            <w:pPr>
              <w:spacing w:before="120" w:after="120" w:line="240" w:lineRule="exact"/>
              <w:rPr>
                <w:b/>
              </w:rPr>
            </w:pPr>
            <w:r w:rsidRPr="002C7CD6">
              <w:rPr>
                <w:b/>
              </w:rPr>
              <w:t>Beschreibung</w:t>
            </w:r>
          </w:p>
        </w:tc>
      </w:tr>
      <w:tr w:rsidR="00503600" w:rsidRPr="002C7CD6">
        <w:tc>
          <w:tcPr>
            <w:tcW w:w="2195" w:type="dxa"/>
          </w:tcPr>
          <w:p w:rsidR="00503600" w:rsidRPr="002C7CD6" w:rsidRDefault="00503600" w:rsidP="002C7CD6">
            <w:pPr>
              <w:spacing w:before="120" w:after="120" w:line="240" w:lineRule="exact"/>
              <w:rPr>
                <w:lang w:val="de-DE"/>
              </w:rPr>
            </w:pPr>
            <w:r w:rsidRPr="002C7CD6">
              <w:rPr>
                <w:lang w:val="de-DE"/>
              </w:rPr>
              <w:t>Ablagepfad</w:t>
            </w:r>
          </w:p>
        </w:tc>
        <w:tc>
          <w:tcPr>
            <w:tcW w:w="7581" w:type="dxa"/>
          </w:tcPr>
          <w:p w:rsidR="00503600" w:rsidRPr="002C7CD6" w:rsidRDefault="00503600" w:rsidP="002C7CD6">
            <w:pPr>
              <w:spacing w:before="120" w:after="120" w:line="240" w:lineRule="exact"/>
              <w:rPr>
                <w:lang w:val="de-DE"/>
              </w:rPr>
            </w:pPr>
            <w:r w:rsidRPr="002C7CD6">
              <w:rPr>
                <w:lang w:val="de-DE"/>
              </w:rPr>
              <w:t>Pfad, unter welchem Dokumente im Praxiscomputer abgelegt sind und aufgefunden werden können.</w:t>
            </w:r>
          </w:p>
        </w:tc>
      </w:tr>
      <w:tr w:rsidR="00503600" w:rsidRPr="002C7CD6">
        <w:tc>
          <w:tcPr>
            <w:tcW w:w="2195" w:type="dxa"/>
          </w:tcPr>
          <w:p w:rsidR="00503600" w:rsidRPr="002C7CD6" w:rsidRDefault="00503600" w:rsidP="002C7CD6">
            <w:pPr>
              <w:spacing w:before="120" w:after="120" w:line="240" w:lineRule="exact"/>
              <w:rPr>
                <w:lang w:val="de-DE"/>
              </w:rPr>
            </w:pPr>
            <w:r w:rsidRPr="002C7CD6">
              <w:rPr>
                <w:lang w:val="de-DE"/>
              </w:rPr>
              <w:t>ADR-Kennzeichnung</w:t>
            </w:r>
          </w:p>
        </w:tc>
        <w:tc>
          <w:tcPr>
            <w:tcW w:w="7581" w:type="dxa"/>
          </w:tcPr>
          <w:p w:rsidR="00503600" w:rsidRPr="002C7CD6" w:rsidRDefault="00503600" w:rsidP="002C7CD6">
            <w:pPr>
              <w:spacing w:before="120" w:after="120" w:line="240" w:lineRule="exact"/>
              <w:rPr>
                <w:lang w:val="de-DE"/>
              </w:rPr>
            </w:pPr>
            <w:r w:rsidRPr="002C7CD6">
              <w:t xml:space="preserve">Kennzeichnung von Transportmitteln, die vom Europäischen Übereinkommen über die internationale Beförderung gefährlicher Güter auf der Strasse (ADR: </w:t>
            </w:r>
            <w:r w:rsidRPr="002C7CD6">
              <w:rPr>
                <w:rStyle w:val="e24kjd"/>
                <w:rFonts w:cs="Arial"/>
                <w:u w:val="single"/>
              </w:rPr>
              <w:t>A</w:t>
            </w:r>
            <w:r w:rsidRPr="002C7CD6">
              <w:rPr>
                <w:rStyle w:val="e24kjd"/>
                <w:rFonts w:cs="Arial"/>
              </w:rPr>
              <w:t xml:space="preserve">ccord européen relatif au transport international des marchandises </w:t>
            </w:r>
            <w:r w:rsidRPr="002C7CD6">
              <w:rPr>
                <w:rStyle w:val="e24kjd"/>
                <w:rFonts w:cs="Arial"/>
                <w:u w:val="single"/>
              </w:rPr>
              <w:t>D</w:t>
            </w:r>
            <w:r w:rsidRPr="002C7CD6">
              <w:rPr>
                <w:rStyle w:val="e24kjd"/>
                <w:rFonts w:cs="Arial"/>
              </w:rPr>
              <w:t xml:space="preserve">angereuses par </w:t>
            </w:r>
            <w:r w:rsidRPr="002C7CD6">
              <w:rPr>
                <w:rStyle w:val="e24kjd"/>
                <w:rFonts w:cs="Arial"/>
                <w:u w:val="single"/>
              </w:rPr>
              <w:t>R</w:t>
            </w:r>
            <w:r w:rsidRPr="002C7CD6">
              <w:rPr>
                <w:rStyle w:val="e24kjd"/>
                <w:rFonts w:cs="Arial"/>
              </w:rPr>
              <w:t>oute</w:t>
            </w:r>
            <w:r w:rsidRPr="002C7CD6">
              <w:t>) vorgeschrieben ist.</w:t>
            </w:r>
          </w:p>
        </w:tc>
      </w:tr>
      <w:tr w:rsidR="00503600" w:rsidRPr="002C7CD6">
        <w:tc>
          <w:tcPr>
            <w:tcW w:w="2195" w:type="dxa"/>
          </w:tcPr>
          <w:p w:rsidR="00503600" w:rsidRPr="002C7CD6" w:rsidRDefault="00503600" w:rsidP="002C7CD6">
            <w:pPr>
              <w:spacing w:before="120" w:after="120" w:line="240" w:lineRule="exact"/>
              <w:rPr>
                <w:lang w:val="de-DE"/>
              </w:rPr>
            </w:pPr>
            <w:r w:rsidRPr="002C7CD6">
              <w:rPr>
                <w:lang w:val="de-DE"/>
              </w:rPr>
              <w:t>AL</w:t>
            </w:r>
          </w:p>
        </w:tc>
        <w:tc>
          <w:tcPr>
            <w:tcW w:w="7581" w:type="dxa"/>
          </w:tcPr>
          <w:p w:rsidR="00503600" w:rsidRPr="002C7CD6" w:rsidRDefault="00503600" w:rsidP="002C7CD6">
            <w:pPr>
              <w:spacing w:before="120" w:after="120" w:line="240" w:lineRule="exact"/>
              <w:rPr>
                <w:lang w:val="de-DE"/>
              </w:rPr>
            </w:pPr>
            <w:r w:rsidRPr="002C7CD6">
              <w:rPr>
                <w:lang w:val="de-DE"/>
              </w:rPr>
              <w:t>Anhang Liste; diese Dokumente enthalten regelmässig verwendete Informationen wie z.B. Adresslisten oder Visumslisten, aber auch Checklisten.</w:t>
            </w:r>
          </w:p>
        </w:tc>
      </w:tr>
      <w:tr w:rsidR="00503600" w:rsidRPr="002C7CD6">
        <w:tc>
          <w:tcPr>
            <w:tcW w:w="2195" w:type="dxa"/>
          </w:tcPr>
          <w:p w:rsidR="00503600" w:rsidRPr="002C7CD6" w:rsidRDefault="00503600" w:rsidP="002C7CD6">
            <w:pPr>
              <w:spacing w:before="120" w:after="120" w:line="240" w:lineRule="exact"/>
              <w:rPr>
                <w:lang w:val="de-DE"/>
              </w:rPr>
            </w:pPr>
            <w:r w:rsidRPr="002C7CD6">
              <w:rPr>
                <w:lang w:val="de-DE"/>
              </w:rPr>
              <w:t>Antidota</w:t>
            </w:r>
          </w:p>
        </w:tc>
        <w:tc>
          <w:tcPr>
            <w:tcW w:w="7581" w:type="dxa"/>
          </w:tcPr>
          <w:p w:rsidR="00503600" w:rsidRPr="002C7CD6" w:rsidRDefault="00503600" w:rsidP="002C7CD6">
            <w:pPr>
              <w:spacing w:before="120" w:after="120" w:line="240" w:lineRule="exact"/>
              <w:rPr>
                <w:lang w:val="de-DE"/>
              </w:rPr>
            </w:pPr>
            <w:r w:rsidRPr="002C7CD6">
              <w:rPr>
                <w:lang w:val="de-DE"/>
              </w:rPr>
              <w:t>Gegengifte resp. Gegenmittel zu Giften, Toxinen, Medikamenten oder anderen Substanzen, die auf einen Organismus Einfluss nehmen.</w:t>
            </w:r>
          </w:p>
        </w:tc>
      </w:tr>
      <w:tr w:rsidR="00503600" w:rsidRPr="002C7CD6">
        <w:tc>
          <w:tcPr>
            <w:tcW w:w="2195" w:type="dxa"/>
          </w:tcPr>
          <w:p w:rsidR="00503600" w:rsidRPr="002C7CD6" w:rsidRDefault="00503600" w:rsidP="002C7CD6">
            <w:pPr>
              <w:spacing w:before="120" w:after="120" w:line="240" w:lineRule="exact"/>
              <w:rPr>
                <w:lang w:val="de-DE"/>
              </w:rPr>
            </w:pPr>
            <w:r w:rsidRPr="002C7CD6">
              <w:rPr>
                <w:lang w:val="de-DE"/>
              </w:rPr>
              <w:t>Antivenine</w:t>
            </w:r>
          </w:p>
        </w:tc>
        <w:tc>
          <w:tcPr>
            <w:tcW w:w="7581" w:type="dxa"/>
          </w:tcPr>
          <w:p w:rsidR="00503600" w:rsidRPr="002C7CD6" w:rsidRDefault="00503600" w:rsidP="002C7CD6">
            <w:pPr>
              <w:spacing w:before="120" w:after="120" w:line="240" w:lineRule="exact"/>
              <w:rPr>
                <w:lang w:val="de-DE"/>
              </w:rPr>
            </w:pPr>
            <w:r w:rsidRPr="002C7CD6">
              <w:rPr>
                <w:lang w:val="de-DE"/>
              </w:rPr>
              <w:t>Speziell für die Behandlung von Bissverletzungen durch giftige Tiere (z.B. Schlangen) vorgesehenes Immunserum.</w:t>
            </w:r>
          </w:p>
        </w:tc>
      </w:tr>
      <w:tr w:rsidR="00503600" w:rsidRPr="002C7CD6">
        <w:tc>
          <w:tcPr>
            <w:tcW w:w="2195" w:type="dxa"/>
          </w:tcPr>
          <w:p w:rsidR="00503600" w:rsidRPr="002C7CD6" w:rsidRDefault="00503600" w:rsidP="002C7CD6">
            <w:pPr>
              <w:spacing w:before="120" w:after="120" w:line="240" w:lineRule="exact"/>
              <w:rPr>
                <w:b/>
              </w:rPr>
            </w:pPr>
            <w:r w:rsidRPr="002C7CD6">
              <w:rPr>
                <w:lang w:val="de-DE"/>
              </w:rPr>
              <w:t>AMBV</w:t>
            </w:r>
          </w:p>
        </w:tc>
        <w:tc>
          <w:tcPr>
            <w:tcW w:w="7581" w:type="dxa"/>
          </w:tcPr>
          <w:p w:rsidR="00503600" w:rsidRPr="002C7CD6" w:rsidRDefault="00503600" w:rsidP="002C7CD6">
            <w:pPr>
              <w:spacing w:before="120" w:after="120" w:line="240" w:lineRule="exact"/>
              <w:rPr>
                <w:b/>
              </w:rPr>
            </w:pPr>
            <w:r w:rsidRPr="002C7CD6">
              <w:rPr>
                <w:lang w:val="de-DE"/>
              </w:rPr>
              <w:t>Arzneimittel-Bewilligungsverordnung</w:t>
            </w:r>
          </w:p>
        </w:tc>
      </w:tr>
      <w:tr w:rsidR="00503600" w:rsidRPr="002C7CD6">
        <w:tc>
          <w:tcPr>
            <w:tcW w:w="2195" w:type="dxa"/>
          </w:tcPr>
          <w:p w:rsidR="00503600" w:rsidRPr="002C7CD6" w:rsidRDefault="00503600" w:rsidP="002C7CD6">
            <w:pPr>
              <w:spacing w:before="120" w:after="120" w:line="240" w:lineRule="exact"/>
              <w:rPr>
                <w:lang w:val="de-DE"/>
              </w:rPr>
            </w:pPr>
            <w:r w:rsidRPr="002C7CD6">
              <w:rPr>
                <w:lang w:val="de-DE"/>
              </w:rPr>
              <w:t>AP</w:t>
            </w:r>
          </w:p>
        </w:tc>
        <w:tc>
          <w:tcPr>
            <w:tcW w:w="7581" w:type="dxa"/>
          </w:tcPr>
          <w:p w:rsidR="00503600" w:rsidRPr="002C7CD6" w:rsidRDefault="00503600" w:rsidP="002C7CD6">
            <w:pPr>
              <w:spacing w:before="120" w:after="120" w:line="240" w:lineRule="exact"/>
              <w:rPr>
                <w:lang w:val="de-DE"/>
              </w:rPr>
            </w:pPr>
            <w:r w:rsidRPr="002C7CD6">
              <w:rPr>
                <w:lang w:val="de-DE"/>
              </w:rPr>
              <w:t>Anhang Protokoll; die Protokolle dienen der Dokumentation ausgeführter Arbeitsschritte. Ist nichts anderes vermerkt, visiert diejenige Person das Protokoll, welche die Arbeiten durchgeführt hat. Beispiele sind AP Verfalldatenkontrolle oder AP Kalibrierung.</w:t>
            </w:r>
          </w:p>
        </w:tc>
      </w:tr>
      <w:tr w:rsidR="00503600" w:rsidRPr="002C7CD6">
        <w:tc>
          <w:tcPr>
            <w:tcW w:w="2195" w:type="dxa"/>
          </w:tcPr>
          <w:p w:rsidR="00503600" w:rsidRPr="002C7CD6" w:rsidRDefault="00503600" w:rsidP="002C7CD6">
            <w:pPr>
              <w:spacing w:before="120" w:after="120" w:line="240" w:lineRule="exact"/>
              <w:rPr>
                <w:i/>
                <w:lang w:val="de-DE"/>
              </w:rPr>
            </w:pPr>
            <w:r w:rsidRPr="002C7CD6">
              <w:rPr>
                <w:rStyle w:val="Emphasis"/>
                <w:rFonts w:cs="Arial"/>
                <w:i w:val="0"/>
                <w:lang w:val="de-DE"/>
              </w:rPr>
              <w:t>Arzneimittel</w:t>
            </w:r>
          </w:p>
        </w:tc>
        <w:tc>
          <w:tcPr>
            <w:tcW w:w="7581" w:type="dxa"/>
          </w:tcPr>
          <w:p w:rsidR="00503600" w:rsidRPr="002C7CD6" w:rsidRDefault="00503600" w:rsidP="002C7CD6">
            <w:pPr>
              <w:spacing w:before="120" w:after="120" w:line="240" w:lineRule="exact"/>
              <w:rPr>
                <w:lang w:val="de-DE"/>
              </w:rPr>
            </w:pPr>
            <w:r w:rsidRPr="002C7CD6">
              <w:rPr>
                <w:lang w:val="de-DE"/>
              </w:rPr>
              <w:t xml:space="preserve">Produkte chemischen oder biologischen Ursprungs, die zur medizinischen Einwirkung auf den menschlichen oder tierischen Organismus bestimmt sind, insbesondere zur Erkennung, Verhütung oder Behandlung von </w:t>
            </w:r>
            <w:bookmarkStart w:id="0" w:name="_GoBack"/>
            <w:r w:rsidRPr="002C7CD6">
              <w:rPr>
                <w:lang w:val="de-DE"/>
              </w:rPr>
              <w:t>Krankheiten</w:t>
            </w:r>
            <w:bookmarkEnd w:id="0"/>
            <w:r w:rsidRPr="002C7CD6">
              <w:rPr>
                <w:lang w:val="de-DE"/>
              </w:rPr>
              <w:t>, Verletzungen und Behinderungen. Blut und Blutprodukte gehören ebenfalls zu den Arzneimitteln.</w:t>
            </w:r>
          </w:p>
        </w:tc>
      </w:tr>
      <w:tr w:rsidR="00503600" w:rsidRPr="002C7CD6">
        <w:tc>
          <w:tcPr>
            <w:tcW w:w="2195" w:type="dxa"/>
          </w:tcPr>
          <w:p w:rsidR="00503600" w:rsidRPr="002C7CD6" w:rsidRDefault="00503600" w:rsidP="002C7CD6">
            <w:pPr>
              <w:spacing w:before="120" w:after="120" w:line="240" w:lineRule="exact"/>
              <w:rPr>
                <w:rStyle w:val="Emphasis"/>
                <w:rFonts w:cs="Arial"/>
                <w:i w:val="0"/>
                <w:lang w:val="de-DE"/>
              </w:rPr>
            </w:pPr>
            <w:r w:rsidRPr="002C7CD6">
              <w:rPr>
                <w:rStyle w:val="Emphasis"/>
                <w:rFonts w:cs="Arial"/>
                <w:i w:val="0"/>
                <w:lang w:val="de-DE"/>
              </w:rPr>
              <w:t>aseptisch</w:t>
            </w:r>
          </w:p>
        </w:tc>
        <w:tc>
          <w:tcPr>
            <w:tcW w:w="7581" w:type="dxa"/>
          </w:tcPr>
          <w:p w:rsidR="00503600" w:rsidRPr="002C7CD6" w:rsidRDefault="00503600" w:rsidP="002C7CD6">
            <w:pPr>
              <w:spacing w:before="120" w:after="120" w:line="240" w:lineRule="exact"/>
              <w:rPr>
                <w:lang w:val="de-DE"/>
              </w:rPr>
            </w:pPr>
            <w:r w:rsidRPr="002C7CD6">
              <w:rPr>
                <w:lang w:val="de-DE"/>
              </w:rPr>
              <w:t>Keimfrei; ohne mikrobielle Kontamination</w:t>
            </w:r>
          </w:p>
        </w:tc>
      </w:tr>
      <w:tr w:rsidR="00503600" w:rsidRPr="002C7CD6">
        <w:tc>
          <w:tcPr>
            <w:tcW w:w="2195" w:type="dxa"/>
          </w:tcPr>
          <w:p w:rsidR="00503600" w:rsidRPr="002C7CD6" w:rsidRDefault="00503600" w:rsidP="002C7CD6">
            <w:pPr>
              <w:spacing w:before="120" w:after="120" w:line="240" w:lineRule="exact"/>
              <w:rPr>
                <w:rStyle w:val="Emphasis"/>
                <w:rFonts w:cs="Arial"/>
                <w:i w:val="0"/>
                <w:lang w:val="de-DE"/>
              </w:rPr>
            </w:pPr>
            <w:r w:rsidRPr="002C7CD6">
              <w:rPr>
                <w:rStyle w:val="Emphasis"/>
                <w:rFonts w:cs="Arial"/>
                <w:i w:val="0"/>
                <w:lang w:val="de-DE"/>
              </w:rPr>
              <w:t>Autoklav</w:t>
            </w:r>
          </w:p>
        </w:tc>
        <w:tc>
          <w:tcPr>
            <w:tcW w:w="7581" w:type="dxa"/>
          </w:tcPr>
          <w:p w:rsidR="00503600" w:rsidRPr="002C7CD6" w:rsidRDefault="00503600" w:rsidP="002C7CD6">
            <w:pPr>
              <w:spacing w:before="120" w:after="120" w:line="240" w:lineRule="exact"/>
              <w:rPr>
                <w:lang w:val="de-DE"/>
              </w:rPr>
            </w:pPr>
            <w:r w:rsidRPr="002C7CD6">
              <w:rPr>
                <w:lang w:val="de-DE"/>
              </w:rPr>
              <w:t>Gasdicht verschliessbarer Druckbehälter; wird in der Arztpraxis zur Sterilisation von Materialien verwendet. Geschieht der Druckaufbau unter Verwendung von Dampf spricht man von Wasserdampf-Autoklav.</w:t>
            </w:r>
          </w:p>
        </w:tc>
      </w:tr>
      <w:tr w:rsidR="00503600" w:rsidRPr="002C7CD6">
        <w:tc>
          <w:tcPr>
            <w:tcW w:w="2195" w:type="dxa"/>
          </w:tcPr>
          <w:p w:rsidR="00503600" w:rsidRPr="002C7CD6" w:rsidRDefault="00503600" w:rsidP="002C7CD6">
            <w:pPr>
              <w:spacing w:before="120" w:after="120" w:line="240" w:lineRule="exact"/>
              <w:rPr>
                <w:lang w:val="de-DE" w:eastAsia="de-DE"/>
              </w:rPr>
            </w:pPr>
            <w:r w:rsidRPr="002C7CD6">
              <w:rPr>
                <w:lang w:val="de-DE" w:eastAsia="de-DE"/>
              </w:rPr>
              <w:t>Behandlungsindikator (Klasse 1)</w:t>
            </w:r>
          </w:p>
        </w:tc>
        <w:tc>
          <w:tcPr>
            <w:tcW w:w="7581" w:type="dxa"/>
          </w:tcPr>
          <w:p w:rsidR="00503600" w:rsidRPr="002C7CD6" w:rsidRDefault="00503600" w:rsidP="002C7CD6">
            <w:pPr>
              <w:tabs>
                <w:tab w:val="num" w:pos="567"/>
              </w:tabs>
              <w:spacing w:before="120" w:after="120" w:line="240" w:lineRule="exact"/>
              <w:rPr>
                <w:lang w:val="de-DE" w:eastAsia="de-DE"/>
              </w:rPr>
            </w:pPr>
            <w:r w:rsidRPr="002C7CD6">
              <w:rPr>
                <w:lang w:val="de-DE" w:eastAsia="de-DE"/>
              </w:rPr>
              <w:t>Chemischer Indikator, der anzeigt, ob ein Medizinprodukt einem Sterilisationsprozess ausgesetzt war. Dient der Unterscheidung von behandelten und unbehandelten Medizinprodukten.</w:t>
            </w:r>
          </w:p>
        </w:tc>
      </w:tr>
      <w:tr w:rsidR="00503600" w:rsidRPr="002C7CD6">
        <w:tc>
          <w:tcPr>
            <w:tcW w:w="2195" w:type="dxa"/>
          </w:tcPr>
          <w:p w:rsidR="00503600" w:rsidRPr="002C7CD6" w:rsidRDefault="00503600" w:rsidP="002C7CD6">
            <w:pPr>
              <w:spacing w:before="120" w:after="120" w:line="240" w:lineRule="exact"/>
              <w:rPr>
                <w:rStyle w:val="Emphasis"/>
                <w:rFonts w:cs="Arial"/>
                <w:color w:val="454545"/>
                <w:lang w:val="de-DE"/>
              </w:rPr>
            </w:pPr>
            <w:r w:rsidRPr="002C7CD6">
              <w:rPr>
                <w:lang w:val="de-DE" w:eastAsia="de-DE"/>
              </w:rPr>
              <w:t>Betäubungsmittel</w:t>
            </w:r>
          </w:p>
        </w:tc>
        <w:tc>
          <w:tcPr>
            <w:tcW w:w="7581" w:type="dxa"/>
          </w:tcPr>
          <w:p w:rsidR="00503600" w:rsidRPr="002C7CD6" w:rsidRDefault="00503600" w:rsidP="002C7CD6">
            <w:pPr>
              <w:tabs>
                <w:tab w:val="num" w:pos="567"/>
              </w:tabs>
              <w:spacing w:before="120" w:after="120" w:line="240" w:lineRule="exact"/>
              <w:rPr>
                <w:color w:val="454545"/>
                <w:lang w:val="de-DE"/>
              </w:rPr>
            </w:pPr>
            <w:r w:rsidRPr="002C7CD6">
              <w:rPr>
                <w:lang w:val="de-DE" w:eastAsia="de-DE"/>
              </w:rPr>
              <w:t>Abhängigkeitserzeugende Stoffe und Präparate der Wirkungstypen Morphin, Kokain oder Cannabis, sowie Stoffe und Präparate, die auf deren Grundlage hergestellt werden oder eine ähnliche Wirkung wie diese haben.</w:t>
            </w:r>
          </w:p>
        </w:tc>
      </w:tr>
      <w:tr w:rsidR="00503600" w:rsidRPr="002C7CD6">
        <w:tc>
          <w:tcPr>
            <w:tcW w:w="2195" w:type="dxa"/>
          </w:tcPr>
          <w:p w:rsidR="00503600" w:rsidRPr="002C7CD6" w:rsidRDefault="00503600" w:rsidP="002C7CD6">
            <w:pPr>
              <w:spacing w:before="120" w:after="120" w:line="240" w:lineRule="exact"/>
            </w:pPr>
            <w:r w:rsidRPr="002C7CD6">
              <w:t>BetmG</w:t>
            </w:r>
          </w:p>
        </w:tc>
        <w:tc>
          <w:tcPr>
            <w:tcW w:w="7581" w:type="dxa"/>
          </w:tcPr>
          <w:p w:rsidR="00503600" w:rsidRPr="002C7CD6" w:rsidRDefault="00503600" w:rsidP="002C7CD6">
            <w:pPr>
              <w:spacing w:before="120" w:after="120" w:line="240" w:lineRule="exact"/>
            </w:pPr>
            <w:r w:rsidRPr="002C7CD6">
              <w:t>Betäubungsmittelgesetz</w:t>
            </w:r>
          </w:p>
        </w:tc>
      </w:tr>
      <w:tr w:rsidR="00503600" w:rsidRPr="002C7CD6">
        <w:tc>
          <w:tcPr>
            <w:tcW w:w="2195" w:type="dxa"/>
          </w:tcPr>
          <w:p w:rsidR="00503600" w:rsidRPr="002C7CD6" w:rsidRDefault="00503600" w:rsidP="002C7CD6">
            <w:pPr>
              <w:spacing w:before="120" w:after="120" w:line="240" w:lineRule="exact"/>
              <w:rPr>
                <w:highlight w:val="yellow"/>
              </w:rPr>
            </w:pPr>
            <w:r w:rsidRPr="002C7CD6">
              <w:t>BetmKV</w:t>
            </w:r>
          </w:p>
        </w:tc>
        <w:tc>
          <w:tcPr>
            <w:tcW w:w="7581" w:type="dxa"/>
          </w:tcPr>
          <w:p w:rsidR="00503600" w:rsidRPr="002C7CD6" w:rsidRDefault="00503600" w:rsidP="002C7CD6">
            <w:pPr>
              <w:spacing w:before="120" w:after="120" w:line="240" w:lineRule="exact"/>
              <w:rPr>
                <w:highlight w:val="yellow"/>
              </w:rPr>
            </w:pPr>
            <w:r w:rsidRPr="002C7CD6">
              <w:t>Betäubungsmittel-Kontrollverordnung; auch Verordnung über die Betäubungsmittelkontrolle genannt</w:t>
            </w:r>
          </w:p>
        </w:tc>
      </w:tr>
      <w:tr w:rsidR="00503600" w:rsidRPr="002C7CD6">
        <w:tc>
          <w:tcPr>
            <w:tcW w:w="2195" w:type="dxa"/>
          </w:tcPr>
          <w:p w:rsidR="00503600" w:rsidRPr="002C7CD6" w:rsidRDefault="00503600" w:rsidP="002C7CD6">
            <w:pPr>
              <w:spacing w:before="120" w:after="120" w:line="240" w:lineRule="exact"/>
            </w:pPr>
            <w:r w:rsidRPr="002C7CD6">
              <w:t>Bowie Dick Test</w:t>
            </w:r>
          </w:p>
        </w:tc>
        <w:tc>
          <w:tcPr>
            <w:tcW w:w="7581" w:type="dxa"/>
          </w:tcPr>
          <w:p w:rsidR="00503600" w:rsidRPr="002C7CD6" w:rsidRDefault="00503600" w:rsidP="002C7CD6">
            <w:pPr>
              <w:spacing w:before="120" w:after="120" w:line="240" w:lineRule="exact"/>
            </w:pPr>
            <w:r w:rsidRPr="002C7CD6">
              <w:t>Verfahren zur Leistungsüberprüfung von medizinischen Dampfsterilisatoren</w:t>
            </w:r>
          </w:p>
        </w:tc>
      </w:tr>
      <w:tr w:rsidR="00503600" w:rsidRPr="002C7CD6">
        <w:tc>
          <w:tcPr>
            <w:tcW w:w="2195" w:type="dxa"/>
          </w:tcPr>
          <w:p w:rsidR="00503600" w:rsidRPr="002C7CD6" w:rsidRDefault="00503600" w:rsidP="002C7CD6">
            <w:pPr>
              <w:spacing w:before="120" w:after="120" w:line="240" w:lineRule="exact"/>
            </w:pPr>
            <w:r w:rsidRPr="002C7CD6">
              <w:t>Buchführung</w:t>
            </w:r>
          </w:p>
        </w:tc>
        <w:tc>
          <w:tcPr>
            <w:tcW w:w="7581" w:type="dxa"/>
          </w:tcPr>
          <w:p w:rsidR="00503600" w:rsidRPr="002C7CD6" w:rsidRDefault="00503600" w:rsidP="002C7CD6">
            <w:pPr>
              <w:spacing w:before="120" w:after="120" w:line="240" w:lineRule="exact"/>
            </w:pPr>
            <w:r w:rsidRPr="002C7CD6">
              <w:t>Lückenlose und geordnete Aufzeichnung von Vorgängen in der Arztpraxis</w:t>
            </w:r>
          </w:p>
        </w:tc>
      </w:tr>
      <w:tr w:rsidR="00503600" w:rsidRPr="002C7CD6">
        <w:tc>
          <w:tcPr>
            <w:tcW w:w="2195" w:type="dxa"/>
          </w:tcPr>
          <w:p w:rsidR="00503600" w:rsidRPr="002C7CD6" w:rsidRDefault="00503600" w:rsidP="002C7CD6">
            <w:pPr>
              <w:spacing w:before="120" w:after="120" w:line="240" w:lineRule="exact"/>
            </w:pPr>
            <w:r w:rsidRPr="002C7CD6">
              <w:t>FEFO System</w:t>
            </w:r>
          </w:p>
          <w:p w:rsidR="00503600" w:rsidRPr="002C7CD6" w:rsidRDefault="00503600" w:rsidP="002C7CD6">
            <w:pPr>
              <w:spacing w:before="120" w:after="120" w:line="240" w:lineRule="exact"/>
            </w:pPr>
          </w:p>
        </w:tc>
        <w:tc>
          <w:tcPr>
            <w:tcW w:w="7581" w:type="dxa"/>
          </w:tcPr>
          <w:p w:rsidR="00503600" w:rsidRPr="002C7CD6" w:rsidRDefault="00503600" w:rsidP="002C7CD6">
            <w:pPr>
              <w:spacing w:before="120" w:after="120" w:line="240" w:lineRule="exact"/>
            </w:pPr>
            <w:r w:rsidRPr="002C7CD6">
              <w:t>First expire – First out: Die Packung mit dem kürzesten Verfalldatum wird zuvorderst eingereiht, damit sie als nächste abgegeben wird.</w:t>
            </w:r>
          </w:p>
        </w:tc>
      </w:tr>
      <w:tr w:rsidR="00503600" w:rsidRPr="002C7CD6">
        <w:tc>
          <w:tcPr>
            <w:tcW w:w="2195" w:type="dxa"/>
          </w:tcPr>
          <w:p w:rsidR="00503600" w:rsidRPr="002C7CD6" w:rsidRDefault="00503600" w:rsidP="002C7CD6">
            <w:pPr>
              <w:spacing w:before="120" w:after="120" w:line="240" w:lineRule="exact"/>
            </w:pPr>
            <w:r w:rsidRPr="002C7CD6">
              <w:t>Galenik</w:t>
            </w:r>
          </w:p>
        </w:tc>
        <w:tc>
          <w:tcPr>
            <w:tcW w:w="7581" w:type="dxa"/>
          </w:tcPr>
          <w:p w:rsidR="00503600" w:rsidRPr="002C7CD6" w:rsidRDefault="00503600" w:rsidP="002C7CD6">
            <w:pPr>
              <w:spacing w:before="120" w:after="120" w:line="240" w:lineRule="exact"/>
            </w:pPr>
            <w:r w:rsidRPr="002C7CD6">
              <w:t>Lehre von der Herstellung von Arzneimitteln; zu den Aufgaben der Galenik zählt, den Wirkstoff mit geeigneten Hilfsstoffen in die richtige Darreichungsform (galenische Form) zu bringen.</w:t>
            </w:r>
          </w:p>
        </w:tc>
      </w:tr>
      <w:tr w:rsidR="00503600" w:rsidRPr="002C7CD6">
        <w:tc>
          <w:tcPr>
            <w:tcW w:w="2195" w:type="dxa"/>
          </w:tcPr>
          <w:p w:rsidR="00503600" w:rsidRPr="002C7CD6" w:rsidRDefault="00503600" w:rsidP="002C7CD6">
            <w:pPr>
              <w:spacing w:before="120" w:after="120" w:line="240" w:lineRule="exact"/>
            </w:pPr>
            <w:r w:rsidRPr="002C7CD6">
              <w:t>Galenische Form</w:t>
            </w:r>
          </w:p>
        </w:tc>
        <w:tc>
          <w:tcPr>
            <w:tcW w:w="7581" w:type="dxa"/>
          </w:tcPr>
          <w:p w:rsidR="00503600" w:rsidRPr="002C7CD6" w:rsidRDefault="00503600" w:rsidP="002C7CD6">
            <w:pPr>
              <w:spacing w:before="120" w:after="120" w:line="240" w:lineRule="exact"/>
            </w:pPr>
            <w:r w:rsidRPr="002C7CD6">
              <w:t>Arzneiform, auch Darreichungsform genannt; bezeichnet die Zubereitung aus Wirkstoff und Hilfsstoffen.</w:t>
            </w:r>
          </w:p>
        </w:tc>
      </w:tr>
      <w:tr w:rsidR="00503600" w:rsidRPr="002C7CD6">
        <w:tc>
          <w:tcPr>
            <w:tcW w:w="2195" w:type="dxa"/>
          </w:tcPr>
          <w:p w:rsidR="00503600" w:rsidRPr="002C7CD6" w:rsidRDefault="00503600" w:rsidP="002C7CD6">
            <w:pPr>
              <w:spacing w:before="120" w:after="120" w:line="240" w:lineRule="exact"/>
            </w:pPr>
            <w:r w:rsidRPr="002C7CD6">
              <w:t xml:space="preserve">GLN Nummer </w:t>
            </w:r>
          </w:p>
        </w:tc>
        <w:tc>
          <w:tcPr>
            <w:tcW w:w="7581" w:type="dxa"/>
          </w:tcPr>
          <w:p w:rsidR="00503600" w:rsidRPr="002C7CD6" w:rsidRDefault="00503600" w:rsidP="002C7CD6">
            <w:pPr>
              <w:spacing w:before="120" w:after="120" w:line="240" w:lineRule="exact"/>
            </w:pPr>
            <w:r w:rsidRPr="002C7CD6">
              <w:t>GLN steht für Global Location Number. Dabei handelt es sich um eine 13-stellige Nummer. Diese dient der eindeutigen und einzigartigen Identifikation von Orten, Unternehmen oder Funktionen.</w:t>
            </w:r>
          </w:p>
        </w:tc>
      </w:tr>
      <w:tr w:rsidR="00503600" w:rsidRPr="002C7CD6">
        <w:tc>
          <w:tcPr>
            <w:tcW w:w="2195" w:type="dxa"/>
          </w:tcPr>
          <w:p w:rsidR="00503600" w:rsidRPr="002C7CD6" w:rsidRDefault="00503600" w:rsidP="002C7CD6">
            <w:pPr>
              <w:spacing w:before="120" w:after="120" w:line="240" w:lineRule="exact"/>
            </w:pPr>
            <w:r w:rsidRPr="002C7CD6">
              <w:t>Heilmittel</w:t>
            </w:r>
          </w:p>
        </w:tc>
        <w:tc>
          <w:tcPr>
            <w:tcW w:w="7581" w:type="dxa"/>
          </w:tcPr>
          <w:p w:rsidR="00503600" w:rsidRPr="002C7CD6" w:rsidRDefault="00503600" w:rsidP="002C7CD6">
            <w:pPr>
              <w:spacing w:before="120" w:after="120" w:line="240" w:lineRule="exact"/>
            </w:pPr>
            <w:r w:rsidRPr="002C7CD6">
              <w:t>Der Begriff Heilmittel umfasst Arzneimittel und Medizinprodukte.</w:t>
            </w:r>
          </w:p>
        </w:tc>
      </w:tr>
      <w:tr w:rsidR="00503600" w:rsidRPr="002C7CD6">
        <w:tc>
          <w:tcPr>
            <w:tcW w:w="2195" w:type="dxa"/>
          </w:tcPr>
          <w:p w:rsidR="00503600" w:rsidRPr="002C7CD6" w:rsidRDefault="00503600" w:rsidP="002C7CD6">
            <w:pPr>
              <w:spacing w:before="120" w:after="120" w:line="240" w:lineRule="exact"/>
            </w:pPr>
            <w:r w:rsidRPr="002C7CD6">
              <w:t>Helixtest</w:t>
            </w:r>
          </w:p>
        </w:tc>
        <w:tc>
          <w:tcPr>
            <w:tcW w:w="7581" w:type="dxa"/>
          </w:tcPr>
          <w:p w:rsidR="00503600" w:rsidRPr="002C7CD6" w:rsidRDefault="00503600" w:rsidP="002C7CD6">
            <w:pPr>
              <w:spacing w:before="120" w:after="120" w:line="240" w:lineRule="exact"/>
            </w:pPr>
            <w:r w:rsidRPr="002C7CD6">
              <w:t>Mit dem Helixtest wird die Fähigkeit des Autoklaven untersucht, hohle Gegenstände wie Infusionsbestecke zu sterilisieren.</w:t>
            </w:r>
          </w:p>
        </w:tc>
      </w:tr>
      <w:tr w:rsidR="00503600" w:rsidRPr="002C7CD6">
        <w:tc>
          <w:tcPr>
            <w:tcW w:w="2195" w:type="dxa"/>
          </w:tcPr>
          <w:p w:rsidR="00503600" w:rsidRPr="002C7CD6" w:rsidRDefault="00503600" w:rsidP="002C7CD6">
            <w:pPr>
              <w:spacing w:before="120" w:after="120" w:line="240" w:lineRule="exact"/>
            </w:pPr>
            <w:r w:rsidRPr="002C7CD6">
              <w:t>HMG</w:t>
            </w:r>
          </w:p>
        </w:tc>
        <w:tc>
          <w:tcPr>
            <w:tcW w:w="7581" w:type="dxa"/>
          </w:tcPr>
          <w:p w:rsidR="00503600" w:rsidRPr="002C7CD6" w:rsidRDefault="00503600" w:rsidP="002C7CD6">
            <w:pPr>
              <w:spacing w:before="120" w:after="120" w:line="240" w:lineRule="exact"/>
            </w:pPr>
            <w:r w:rsidRPr="002C7CD6">
              <w:t>Heilmittelgesetz</w:t>
            </w:r>
          </w:p>
        </w:tc>
      </w:tr>
      <w:tr w:rsidR="00503600" w:rsidRPr="002C7CD6">
        <w:tc>
          <w:tcPr>
            <w:tcW w:w="2195" w:type="dxa"/>
          </w:tcPr>
          <w:p w:rsidR="00503600" w:rsidRPr="002C7CD6" w:rsidRDefault="00503600" w:rsidP="002C7CD6">
            <w:pPr>
              <w:spacing w:before="120" w:after="120" w:line="240" w:lineRule="exact"/>
            </w:pPr>
            <w:r w:rsidRPr="002C7CD6">
              <w:t>Immunserum</w:t>
            </w:r>
          </w:p>
        </w:tc>
        <w:tc>
          <w:tcPr>
            <w:tcW w:w="7581" w:type="dxa"/>
          </w:tcPr>
          <w:p w:rsidR="00503600" w:rsidRPr="002C7CD6" w:rsidRDefault="00503600" w:rsidP="002C7CD6">
            <w:pPr>
              <w:spacing w:before="120" w:after="120" w:line="240" w:lineRule="exact"/>
            </w:pPr>
            <w:r w:rsidRPr="002C7CD6">
              <w:t>Gereinigte spezifische Antikörper, die aus dem Blut immunisierter Säugetiere oder Menschen gewonnen werden, z.B. Impfserum.</w:t>
            </w:r>
          </w:p>
        </w:tc>
      </w:tr>
      <w:tr w:rsidR="00503600" w:rsidRPr="002C7CD6">
        <w:tc>
          <w:tcPr>
            <w:tcW w:w="2195" w:type="dxa"/>
          </w:tcPr>
          <w:p w:rsidR="00503600" w:rsidRPr="002C7CD6" w:rsidRDefault="00503600" w:rsidP="002C7CD6">
            <w:pPr>
              <w:spacing w:before="120" w:after="120" w:line="240" w:lineRule="exact"/>
            </w:pPr>
            <w:r w:rsidRPr="002C7CD6">
              <w:t>Indikator</w:t>
            </w:r>
          </w:p>
        </w:tc>
        <w:tc>
          <w:tcPr>
            <w:tcW w:w="7581" w:type="dxa"/>
          </w:tcPr>
          <w:p w:rsidR="00503600" w:rsidRPr="002C7CD6" w:rsidRDefault="00503600" w:rsidP="002C7CD6">
            <w:pPr>
              <w:spacing w:before="120" w:after="120" w:line="240" w:lineRule="exact"/>
            </w:pPr>
            <w:r w:rsidRPr="002C7CD6">
              <w:t>Substanz, die durch eine sichtbare oder messbare Veränderung einen Vorgang oder Zustand anzeigt, beispielsweise in der Funktionskontrolle von Sterilisatoren.</w:t>
            </w:r>
          </w:p>
        </w:tc>
      </w:tr>
      <w:tr w:rsidR="00503600" w:rsidRPr="002C7CD6">
        <w:tc>
          <w:tcPr>
            <w:tcW w:w="2195" w:type="dxa"/>
          </w:tcPr>
          <w:p w:rsidR="00503600" w:rsidRPr="002C7CD6" w:rsidRDefault="00503600" w:rsidP="002C7CD6">
            <w:pPr>
              <w:spacing w:before="120" w:after="120" w:line="240" w:lineRule="exact"/>
            </w:pPr>
            <w:r w:rsidRPr="002C7CD6">
              <w:t>Kalibrierung</w:t>
            </w:r>
          </w:p>
        </w:tc>
        <w:tc>
          <w:tcPr>
            <w:tcW w:w="7581" w:type="dxa"/>
          </w:tcPr>
          <w:p w:rsidR="00503600" w:rsidRPr="002C7CD6" w:rsidRDefault="00503600" w:rsidP="002C7CD6">
            <w:pPr>
              <w:spacing w:before="120" w:after="120" w:line="240" w:lineRule="exact"/>
            </w:pPr>
            <w:r w:rsidRPr="002C7CD6">
              <w:t>Messprozess zur reproduzierbaren Feststellung und Dokumentation der Abweichung eines Messgerätes gegenüber dem ‚richtigen‘ Wert (Normwert oder Referenzstandard).</w:t>
            </w:r>
          </w:p>
          <w:p w:rsidR="00503600" w:rsidRPr="002C7CD6" w:rsidRDefault="00503600" w:rsidP="002C7CD6">
            <w:pPr>
              <w:spacing w:before="120" w:after="120" w:line="240" w:lineRule="exact"/>
            </w:pPr>
            <w:r w:rsidRPr="002C7CD6">
              <w:t>Qualitätsrelevante Kenndaten sind mit kalibrierten Messgeräten zu ermitteln.</w:t>
            </w:r>
          </w:p>
        </w:tc>
      </w:tr>
      <w:tr w:rsidR="00503600" w:rsidRPr="002C7CD6">
        <w:tc>
          <w:tcPr>
            <w:tcW w:w="2195" w:type="dxa"/>
          </w:tcPr>
          <w:p w:rsidR="00503600" w:rsidRPr="002C7CD6" w:rsidRDefault="00503600" w:rsidP="002C7CD6">
            <w:pPr>
              <w:spacing w:before="120" w:after="120" w:line="240" w:lineRule="exact"/>
            </w:pPr>
            <w:r w:rsidRPr="002C7CD6">
              <w:t>Kontamination</w:t>
            </w:r>
          </w:p>
        </w:tc>
        <w:tc>
          <w:tcPr>
            <w:tcW w:w="7581" w:type="dxa"/>
          </w:tcPr>
          <w:p w:rsidR="00503600" w:rsidRPr="002C7CD6" w:rsidRDefault="00503600" w:rsidP="002C7CD6">
            <w:pPr>
              <w:spacing w:before="120" w:after="120" w:line="240" w:lineRule="exact"/>
            </w:pPr>
            <w:r w:rsidRPr="002C7CD6">
              <w:t>Verunreinigung</w:t>
            </w:r>
          </w:p>
        </w:tc>
      </w:tr>
      <w:tr w:rsidR="00503600" w:rsidRPr="002C7CD6">
        <w:tc>
          <w:tcPr>
            <w:tcW w:w="2195" w:type="dxa"/>
          </w:tcPr>
          <w:p w:rsidR="00503600" w:rsidRPr="002C7CD6" w:rsidRDefault="00503600" w:rsidP="002C7CD6">
            <w:pPr>
              <w:spacing w:before="120" w:after="120" w:line="240" w:lineRule="exact"/>
            </w:pPr>
            <w:r w:rsidRPr="002C7CD6">
              <w:t>Magistralrezeptur</w:t>
            </w:r>
          </w:p>
        </w:tc>
        <w:tc>
          <w:tcPr>
            <w:tcW w:w="7581" w:type="dxa"/>
          </w:tcPr>
          <w:p w:rsidR="00503600" w:rsidRPr="002C7CD6" w:rsidRDefault="00503600" w:rsidP="002C7CD6">
            <w:pPr>
              <w:spacing w:before="120" w:after="120" w:line="240" w:lineRule="exact"/>
            </w:pPr>
            <w:r w:rsidRPr="002C7CD6">
              <w:t>Arzneimittel, die für Patienten individuell auf ärztliche Verordnung hergestellt werden.</w:t>
            </w:r>
          </w:p>
        </w:tc>
      </w:tr>
    </w:tbl>
    <w:p w:rsidR="00503600" w:rsidRDefault="00503600">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5"/>
        <w:gridCol w:w="7552"/>
      </w:tblGrid>
      <w:tr w:rsidR="00503600" w:rsidRPr="002C7CD6">
        <w:tc>
          <w:tcPr>
            <w:tcW w:w="2195" w:type="dxa"/>
          </w:tcPr>
          <w:p w:rsidR="00503600" w:rsidRPr="002C7CD6" w:rsidRDefault="00503600" w:rsidP="002C7CD6">
            <w:pPr>
              <w:spacing w:before="120" w:after="120" w:line="240" w:lineRule="exact"/>
              <w:rPr>
                <w:i/>
              </w:rPr>
            </w:pPr>
            <w:r w:rsidRPr="002C7CD6">
              <w:rPr>
                <w:rStyle w:val="Emphasis"/>
                <w:rFonts w:cs="Arial"/>
                <w:i w:val="0"/>
                <w:lang w:val="de-DE"/>
              </w:rPr>
              <w:t>Medizinprodukte</w:t>
            </w:r>
          </w:p>
        </w:tc>
        <w:tc>
          <w:tcPr>
            <w:tcW w:w="7552" w:type="dxa"/>
          </w:tcPr>
          <w:p w:rsidR="00503600" w:rsidRPr="002C7CD6" w:rsidRDefault="00503600" w:rsidP="002C7CD6">
            <w:pPr>
              <w:spacing w:before="120" w:after="120" w:line="240" w:lineRule="exact"/>
            </w:pPr>
            <w:r w:rsidRPr="002C7CD6">
              <w:rPr>
                <w:color w:val="454545"/>
                <w:lang w:val="de-DE"/>
              </w:rPr>
              <w:t xml:space="preserve">Produkte, einschliesslich Instrumente, Apparate, In-vitro-Diagnostika, Software und andere Gegenstände oder Stoffe, die für die medizinische Verwendung bestimmt sind oder angepriesen werden und deren Hauptwirkung nicht durch ein Arzneimittel erreicht wird. </w:t>
            </w:r>
          </w:p>
        </w:tc>
      </w:tr>
      <w:tr w:rsidR="00503600" w:rsidRPr="002C7CD6">
        <w:tc>
          <w:tcPr>
            <w:tcW w:w="2195" w:type="dxa"/>
          </w:tcPr>
          <w:p w:rsidR="00503600" w:rsidRPr="002C7CD6" w:rsidRDefault="00503600" w:rsidP="002C7CD6">
            <w:pPr>
              <w:spacing w:before="120" w:after="120" w:line="240" w:lineRule="exact"/>
            </w:pPr>
            <w:r w:rsidRPr="002C7CD6">
              <w:t>Mitgeltende Dokumente</w:t>
            </w:r>
          </w:p>
        </w:tc>
        <w:tc>
          <w:tcPr>
            <w:tcW w:w="7552" w:type="dxa"/>
          </w:tcPr>
          <w:p w:rsidR="00503600" w:rsidRPr="002C7CD6" w:rsidRDefault="00503600" w:rsidP="002C7CD6">
            <w:pPr>
              <w:spacing w:before="120" w:after="120" w:line="240" w:lineRule="exact"/>
            </w:pPr>
            <w:r w:rsidRPr="002C7CD6">
              <w:t>Dokumente, die einen direkten Bezug zu einer Standard-Arbeitsanweisung (SOP) haben.</w:t>
            </w:r>
          </w:p>
        </w:tc>
      </w:tr>
      <w:tr w:rsidR="00503600" w:rsidRPr="002C7CD6">
        <w:tc>
          <w:tcPr>
            <w:tcW w:w="2195" w:type="dxa"/>
          </w:tcPr>
          <w:p w:rsidR="00503600" w:rsidRPr="002C7CD6" w:rsidRDefault="00503600" w:rsidP="002C7CD6">
            <w:pPr>
              <w:spacing w:before="120" w:after="120" w:line="240" w:lineRule="exact"/>
              <w:rPr>
                <w:rStyle w:val="Emphasis"/>
                <w:rFonts w:cs="Arial"/>
                <w:i w:val="0"/>
                <w:color w:val="454545"/>
                <w:lang w:val="de-DE"/>
              </w:rPr>
            </w:pPr>
            <w:r w:rsidRPr="002C7CD6">
              <w:rPr>
                <w:rStyle w:val="Emphasis"/>
                <w:rFonts w:cs="Arial"/>
                <w:i w:val="0"/>
                <w:lang w:val="de-DE"/>
              </w:rPr>
              <w:t>Minimum-Maximum-Thermometer</w:t>
            </w:r>
          </w:p>
        </w:tc>
        <w:tc>
          <w:tcPr>
            <w:tcW w:w="7552" w:type="dxa"/>
          </w:tcPr>
          <w:p w:rsidR="00503600" w:rsidRPr="002C7CD6" w:rsidRDefault="00503600" w:rsidP="002C7CD6">
            <w:pPr>
              <w:spacing w:before="120" w:after="120" w:line="240" w:lineRule="exact"/>
              <w:rPr>
                <w:color w:val="454545"/>
                <w:lang w:val="de-DE"/>
              </w:rPr>
            </w:pPr>
            <w:r w:rsidRPr="002C7CD6">
              <w:rPr>
                <w:color w:val="454545"/>
                <w:lang w:val="de-DE"/>
              </w:rPr>
              <w:t>Ein Minimum-Maximum-Thermometer dient dazu, die in einem längeren Zeitraum auftretenden minimalen und maximalen Temperaturen zusammen mit der aktuellen Temperatur anzuzeigen.</w:t>
            </w:r>
          </w:p>
        </w:tc>
      </w:tr>
      <w:tr w:rsidR="00503600" w:rsidRPr="002C7CD6">
        <w:tc>
          <w:tcPr>
            <w:tcW w:w="2195" w:type="dxa"/>
          </w:tcPr>
          <w:p w:rsidR="00503600" w:rsidRPr="002C7CD6" w:rsidRDefault="00503600" w:rsidP="002C7CD6">
            <w:pPr>
              <w:spacing w:before="120" w:after="120" w:line="240" w:lineRule="exact"/>
            </w:pPr>
            <w:r w:rsidRPr="002C7CD6">
              <w:t>MPA</w:t>
            </w:r>
          </w:p>
        </w:tc>
        <w:tc>
          <w:tcPr>
            <w:tcW w:w="7552" w:type="dxa"/>
          </w:tcPr>
          <w:p w:rsidR="00503600" w:rsidRPr="002C7CD6" w:rsidRDefault="00503600" w:rsidP="002C7CD6">
            <w:pPr>
              <w:spacing w:before="120" w:after="120" w:line="240" w:lineRule="exact"/>
            </w:pPr>
            <w:r w:rsidRPr="002C7CD6">
              <w:t>Medizinische/r Praxisassistent/in</w:t>
            </w:r>
          </w:p>
        </w:tc>
      </w:tr>
      <w:tr w:rsidR="00503600" w:rsidRPr="002C7CD6">
        <w:tc>
          <w:tcPr>
            <w:tcW w:w="2195" w:type="dxa"/>
          </w:tcPr>
          <w:p w:rsidR="00503600" w:rsidRPr="002C7CD6" w:rsidRDefault="00503600" w:rsidP="002C7CD6">
            <w:pPr>
              <w:spacing w:before="120" w:after="120" w:line="240" w:lineRule="exact"/>
              <w:rPr>
                <w:lang w:val="de-DE" w:eastAsia="de-DE"/>
              </w:rPr>
            </w:pPr>
            <w:r w:rsidRPr="002C7CD6">
              <w:rPr>
                <w:lang w:val="de-DE" w:eastAsia="de-DE"/>
              </w:rPr>
              <w:t>NW</w:t>
            </w:r>
          </w:p>
        </w:tc>
        <w:tc>
          <w:tcPr>
            <w:tcW w:w="7552" w:type="dxa"/>
          </w:tcPr>
          <w:p w:rsidR="00503600" w:rsidRPr="002C7CD6" w:rsidRDefault="00503600" w:rsidP="002C7CD6">
            <w:pPr>
              <w:tabs>
                <w:tab w:val="num" w:pos="567"/>
              </w:tabs>
              <w:spacing w:before="120" w:after="120" w:line="240" w:lineRule="exact"/>
              <w:rPr>
                <w:lang w:val="de-DE" w:eastAsia="de-DE"/>
              </w:rPr>
            </w:pPr>
            <w:r w:rsidRPr="002C7CD6">
              <w:rPr>
                <w:lang w:val="de-DE" w:eastAsia="de-DE"/>
              </w:rPr>
              <w:t>Nachweisdokument; in diese Kategorie fallen sämtliche Dokumente, die zum Nachweis verwendet werden, wie etwa Bewilligungen, Schulungsnachweise, Zertifikate oder Lieferscheine.</w:t>
            </w:r>
          </w:p>
        </w:tc>
      </w:tr>
      <w:tr w:rsidR="00503600" w:rsidRPr="002C7CD6">
        <w:tc>
          <w:tcPr>
            <w:tcW w:w="2195" w:type="dxa"/>
          </w:tcPr>
          <w:p w:rsidR="00503600" w:rsidRPr="002C7CD6" w:rsidRDefault="00503600" w:rsidP="002C7CD6">
            <w:pPr>
              <w:spacing w:before="120" w:after="120" w:line="240" w:lineRule="exact"/>
              <w:rPr>
                <w:lang w:val="de-DE" w:eastAsia="de-DE"/>
              </w:rPr>
            </w:pPr>
            <w:r w:rsidRPr="002C7CD6">
              <w:rPr>
                <w:lang w:val="de-DE" w:eastAsia="de-DE"/>
              </w:rPr>
              <w:t>Lumen</w:t>
            </w:r>
          </w:p>
        </w:tc>
        <w:tc>
          <w:tcPr>
            <w:tcW w:w="7552" w:type="dxa"/>
          </w:tcPr>
          <w:p w:rsidR="00503600" w:rsidRPr="002C7CD6" w:rsidRDefault="00503600" w:rsidP="002C7CD6">
            <w:pPr>
              <w:tabs>
                <w:tab w:val="num" w:pos="567"/>
              </w:tabs>
              <w:spacing w:before="120" w:after="120" w:line="240" w:lineRule="exact"/>
              <w:rPr>
                <w:lang w:val="de-DE" w:eastAsia="de-DE"/>
              </w:rPr>
            </w:pPr>
            <w:r w:rsidRPr="002C7CD6">
              <w:rPr>
                <w:lang w:val="de-DE" w:eastAsia="de-DE"/>
              </w:rPr>
              <w:t>Innenraum, beispielsweise das Innere von Kathetern oder Schläuchen</w:t>
            </w:r>
          </w:p>
        </w:tc>
      </w:tr>
      <w:tr w:rsidR="00503600" w:rsidRPr="002C7CD6">
        <w:tc>
          <w:tcPr>
            <w:tcW w:w="2195" w:type="dxa"/>
          </w:tcPr>
          <w:p w:rsidR="00503600" w:rsidRPr="002C7CD6" w:rsidRDefault="00503600" w:rsidP="002C7CD6">
            <w:pPr>
              <w:spacing w:before="120" w:after="120" w:line="240" w:lineRule="exact"/>
              <w:rPr>
                <w:lang w:val="de-DE" w:eastAsia="de-DE"/>
              </w:rPr>
            </w:pPr>
            <w:r w:rsidRPr="002C7CD6">
              <w:rPr>
                <w:lang w:val="de-DE" w:eastAsia="de-DE"/>
              </w:rPr>
              <w:t>Pharmacovigilance</w:t>
            </w:r>
          </w:p>
        </w:tc>
        <w:tc>
          <w:tcPr>
            <w:tcW w:w="7552" w:type="dxa"/>
          </w:tcPr>
          <w:p w:rsidR="00503600" w:rsidRPr="002C7CD6" w:rsidRDefault="00503600" w:rsidP="002C7CD6">
            <w:pPr>
              <w:tabs>
                <w:tab w:val="num" w:pos="567"/>
              </w:tabs>
              <w:spacing w:before="120" w:after="120" w:line="240" w:lineRule="exact"/>
              <w:rPr>
                <w:lang w:val="de-DE" w:eastAsia="de-DE"/>
              </w:rPr>
            </w:pPr>
            <w:r w:rsidRPr="002C7CD6">
              <w:rPr>
                <w:lang w:val="de-DE" w:eastAsia="de-DE"/>
              </w:rPr>
              <w:t xml:space="preserve">Bezeichnet die Überwachung der Sicherheit von Arzneimitteln mit dem Ziel, unerwünschte Wirkungen zu erkennen und entsprechende Massnahmen zur Risikominderung zu ergreifen. </w:t>
            </w:r>
          </w:p>
        </w:tc>
      </w:tr>
      <w:tr w:rsidR="00503600" w:rsidRPr="002C7CD6">
        <w:tc>
          <w:tcPr>
            <w:tcW w:w="2195" w:type="dxa"/>
          </w:tcPr>
          <w:p w:rsidR="00503600" w:rsidRPr="002C7CD6" w:rsidRDefault="00503600" w:rsidP="002C7CD6">
            <w:pPr>
              <w:spacing w:before="120" w:after="120" w:line="240" w:lineRule="exact"/>
              <w:rPr>
                <w:lang w:val="de-DE" w:eastAsia="de-DE"/>
              </w:rPr>
            </w:pPr>
            <w:r w:rsidRPr="002C7CD6">
              <w:rPr>
                <w:lang w:val="de-DE" w:eastAsia="de-DE"/>
              </w:rPr>
              <w:t>Priontest</w:t>
            </w:r>
          </w:p>
        </w:tc>
        <w:tc>
          <w:tcPr>
            <w:tcW w:w="7552" w:type="dxa"/>
          </w:tcPr>
          <w:p w:rsidR="00503600" w:rsidRPr="002C7CD6" w:rsidRDefault="00503600" w:rsidP="002C7CD6">
            <w:pPr>
              <w:tabs>
                <w:tab w:val="num" w:pos="567"/>
              </w:tabs>
              <w:spacing w:before="120" w:after="120" w:line="240" w:lineRule="exact"/>
              <w:rPr>
                <w:lang w:val="de-DE" w:eastAsia="de-DE"/>
              </w:rPr>
            </w:pPr>
            <w:r w:rsidRPr="002C7CD6">
              <w:rPr>
                <w:lang w:val="de-DE" w:eastAsia="de-DE"/>
              </w:rPr>
              <w:t>Prione sind Proteine, die im menschlichen und tierischen Organismus sowohl in normaler als auch in gesundheitsschädigender infektiöser Struktur (z.B. bei Creutzfeld-Jakob-Krankheit) vorliegen können. Der Test untersucht sterilisierte Produkte auf eine Prionenkontamination.</w:t>
            </w:r>
          </w:p>
        </w:tc>
      </w:tr>
      <w:tr w:rsidR="00503600" w:rsidRPr="002C7CD6">
        <w:tc>
          <w:tcPr>
            <w:tcW w:w="2195" w:type="dxa"/>
          </w:tcPr>
          <w:p w:rsidR="00503600" w:rsidRPr="002C7CD6" w:rsidRDefault="00503600" w:rsidP="002C7CD6">
            <w:pPr>
              <w:spacing w:before="120" w:after="120" w:line="240" w:lineRule="exact"/>
            </w:pPr>
            <w:r w:rsidRPr="002C7CD6">
              <w:rPr>
                <w:lang w:val="de-DE" w:eastAsia="de-DE"/>
              </w:rPr>
              <w:t>Psychotrope Stoffe</w:t>
            </w:r>
          </w:p>
        </w:tc>
        <w:tc>
          <w:tcPr>
            <w:tcW w:w="7552" w:type="dxa"/>
          </w:tcPr>
          <w:p w:rsidR="00503600" w:rsidRPr="002C7CD6" w:rsidRDefault="00503600" w:rsidP="002C7CD6">
            <w:pPr>
              <w:tabs>
                <w:tab w:val="num" w:pos="567"/>
              </w:tabs>
              <w:spacing w:before="120" w:after="120" w:line="240" w:lineRule="exact"/>
              <w:rPr>
                <w:lang w:val="de-DE"/>
              </w:rPr>
            </w:pPr>
            <w:r w:rsidRPr="002C7CD6">
              <w:rPr>
                <w:lang w:val="de-DE" w:eastAsia="de-DE"/>
              </w:rPr>
              <w:t>abhängigkeitserzeugende Stoffe und Präparate, welche Amphetamine, Barbiturate, Benzodiazepine oder Halluzinogene wie Lysergid oder Mescalin enthalten oder eine ähnliche Wirkung wie diese haben.</w:t>
            </w:r>
          </w:p>
        </w:tc>
      </w:tr>
      <w:tr w:rsidR="00503600" w:rsidRPr="002C7CD6">
        <w:tc>
          <w:tcPr>
            <w:tcW w:w="2195" w:type="dxa"/>
          </w:tcPr>
          <w:p w:rsidR="00503600" w:rsidRPr="002C7CD6" w:rsidRDefault="00503600" w:rsidP="002C7CD6">
            <w:pPr>
              <w:spacing w:before="120" w:after="120" w:line="240" w:lineRule="exact"/>
            </w:pPr>
            <w:r w:rsidRPr="002C7CD6">
              <w:t>Quarantäne</w:t>
            </w:r>
          </w:p>
        </w:tc>
        <w:tc>
          <w:tcPr>
            <w:tcW w:w="7552" w:type="dxa"/>
          </w:tcPr>
          <w:p w:rsidR="00503600" w:rsidRPr="002C7CD6" w:rsidRDefault="00503600" w:rsidP="002C7CD6">
            <w:pPr>
              <w:spacing w:before="120" w:after="120" w:line="240" w:lineRule="exact"/>
            </w:pPr>
            <w:r w:rsidRPr="002C7CD6">
              <w:t>Vorübergehende Isolation zum Schutz vor ansteckenden Krankheiten</w:t>
            </w:r>
          </w:p>
        </w:tc>
      </w:tr>
      <w:tr w:rsidR="00503600" w:rsidRPr="002C7CD6">
        <w:tc>
          <w:tcPr>
            <w:tcW w:w="2195" w:type="dxa"/>
          </w:tcPr>
          <w:p w:rsidR="00503600" w:rsidRPr="002C7CD6" w:rsidRDefault="00503600" w:rsidP="002C7CD6">
            <w:pPr>
              <w:spacing w:before="120" w:after="120" w:line="240" w:lineRule="exact"/>
            </w:pPr>
            <w:r w:rsidRPr="002C7CD6">
              <w:t>RR-Gerät</w:t>
            </w:r>
          </w:p>
        </w:tc>
        <w:tc>
          <w:tcPr>
            <w:tcW w:w="7552" w:type="dxa"/>
          </w:tcPr>
          <w:p w:rsidR="00503600" w:rsidRPr="002C7CD6" w:rsidRDefault="00503600" w:rsidP="002C7CD6">
            <w:pPr>
              <w:spacing w:before="120" w:after="120" w:line="240" w:lineRule="exact"/>
              <w:rPr>
                <w:highlight w:val="yellow"/>
              </w:rPr>
            </w:pPr>
            <w:r w:rsidRPr="002C7CD6">
              <w:t>Mechanisches Gerät zur klassischen Blutdruckmessung am Oberarm nach der Methode von Riva-Rocci (RR).</w:t>
            </w:r>
          </w:p>
        </w:tc>
      </w:tr>
      <w:tr w:rsidR="00503600" w:rsidRPr="002C7CD6">
        <w:tc>
          <w:tcPr>
            <w:tcW w:w="2195" w:type="dxa"/>
          </w:tcPr>
          <w:p w:rsidR="00503600" w:rsidRPr="002C7CD6" w:rsidRDefault="00503600" w:rsidP="002C7CD6">
            <w:pPr>
              <w:spacing w:before="120" w:after="120" w:line="240" w:lineRule="exact"/>
            </w:pPr>
            <w:r w:rsidRPr="002C7CD6">
              <w:t>Sharps</w:t>
            </w:r>
          </w:p>
        </w:tc>
        <w:tc>
          <w:tcPr>
            <w:tcW w:w="7552" w:type="dxa"/>
          </w:tcPr>
          <w:p w:rsidR="00503600" w:rsidRPr="002C7CD6" w:rsidRDefault="00503600" w:rsidP="002C7CD6">
            <w:pPr>
              <w:spacing w:before="120" w:after="120" w:line="240" w:lineRule="exact"/>
            </w:pPr>
            <w:r w:rsidRPr="002C7CD6">
              <w:t>Gegenstände mit Verletzungsgefahr, beispielsweise Skalpelle oder Nadeln</w:t>
            </w:r>
          </w:p>
        </w:tc>
      </w:tr>
      <w:tr w:rsidR="00503600" w:rsidRPr="002C7CD6">
        <w:tc>
          <w:tcPr>
            <w:tcW w:w="2195" w:type="dxa"/>
          </w:tcPr>
          <w:p w:rsidR="00503600" w:rsidRPr="002C7CD6" w:rsidRDefault="00503600" w:rsidP="002C7CD6">
            <w:pPr>
              <w:spacing w:before="120" w:after="120" w:line="240" w:lineRule="exact"/>
            </w:pPr>
            <w:r w:rsidRPr="002C7CD6">
              <w:t>Soll-Wert</w:t>
            </w:r>
          </w:p>
        </w:tc>
        <w:tc>
          <w:tcPr>
            <w:tcW w:w="7552" w:type="dxa"/>
          </w:tcPr>
          <w:p w:rsidR="00503600" w:rsidRPr="002C7CD6" w:rsidRDefault="00503600" w:rsidP="002C7CD6">
            <w:pPr>
              <w:spacing w:before="120" w:after="120" w:line="240" w:lineRule="exact"/>
            </w:pPr>
            <w:r w:rsidRPr="002C7CD6">
              <w:t>Ziel- oder Normwert</w:t>
            </w:r>
          </w:p>
        </w:tc>
      </w:tr>
      <w:tr w:rsidR="00503600" w:rsidRPr="002C7CD6">
        <w:tc>
          <w:tcPr>
            <w:tcW w:w="2195" w:type="dxa"/>
          </w:tcPr>
          <w:p w:rsidR="00503600" w:rsidRPr="002C7CD6" w:rsidRDefault="00503600" w:rsidP="002C7CD6">
            <w:pPr>
              <w:spacing w:before="120" w:after="120" w:line="240" w:lineRule="exact"/>
            </w:pPr>
            <w:r w:rsidRPr="002C7CD6">
              <w:t>SOP</w:t>
            </w:r>
          </w:p>
        </w:tc>
        <w:tc>
          <w:tcPr>
            <w:tcW w:w="7552" w:type="dxa"/>
          </w:tcPr>
          <w:p w:rsidR="00503600" w:rsidRPr="002C7CD6" w:rsidRDefault="00503600" w:rsidP="002C7CD6">
            <w:pPr>
              <w:spacing w:before="120" w:after="120" w:line="240" w:lineRule="exact"/>
            </w:pPr>
            <w:r w:rsidRPr="002C7CD6">
              <w:t>Standard Operating Procedure, zu Deutsch: Standard-Arbeitsanweisung. Eine SOP beschreibt verbindlich Arbeitsabläufe in schriftlicher Form. Die in der SOP beschriebenen Arbeitsabläufe sind immer in der festgelegten Weise durchzuführen. Sollte es zu Abweichungen von den Abläufen kommen, sind diese unter Angabe der Gründe zu dokumentieren.</w:t>
            </w:r>
          </w:p>
        </w:tc>
      </w:tr>
      <w:tr w:rsidR="00503600" w:rsidRPr="002C7CD6">
        <w:tc>
          <w:tcPr>
            <w:tcW w:w="2195" w:type="dxa"/>
          </w:tcPr>
          <w:p w:rsidR="00503600" w:rsidRPr="002C7CD6" w:rsidRDefault="00503600" w:rsidP="002C7CD6">
            <w:pPr>
              <w:spacing w:before="120" w:after="120" w:line="240" w:lineRule="exact"/>
            </w:pPr>
            <w:r w:rsidRPr="002C7CD6">
              <w:t>Sterilisation</w:t>
            </w:r>
          </w:p>
        </w:tc>
        <w:tc>
          <w:tcPr>
            <w:tcW w:w="7552" w:type="dxa"/>
          </w:tcPr>
          <w:p w:rsidR="00503600" w:rsidRPr="002C7CD6" w:rsidRDefault="00503600" w:rsidP="002C7CD6">
            <w:pPr>
              <w:spacing w:before="120" w:after="120" w:line="240" w:lineRule="exact"/>
            </w:pPr>
            <w:r w:rsidRPr="002C7CD6">
              <w:t>Verfahren, mit welchem Materialien und Gegenstände von allen Mikroorganismen in allen Entwicklungsstadien befreit werden.</w:t>
            </w:r>
          </w:p>
        </w:tc>
      </w:tr>
      <w:tr w:rsidR="00503600" w:rsidRPr="002C7CD6">
        <w:tc>
          <w:tcPr>
            <w:tcW w:w="2195" w:type="dxa"/>
          </w:tcPr>
          <w:p w:rsidR="00503600" w:rsidRPr="002C7CD6" w:rsidRDefault="00503600" w:rsidP="002C7CD6">
            <w:pPr>
              <w:spacing w:before="120" w:after="120" w:line="240" w:lineRule="exact"/>
            </w:pPr>
            <w:r w:rsidRPr="002C7CD6">
              <w:t>Sterilisationszyklus S oder B</w:t>
            </w:r>
          </w:p>
        </w:tc>
        <w:tc>
          <w:tcPr>
            <w:tcW w:w="7552" w:type="dxa"/>
          </w:tcPr>
          <w:p w:rsidR="00503600" w:rsidRPr="002C7CD6" w:rsidRDefault="00503600" w:rsidP="002C7CD6">
            <w:pPr>
              <w:spacing w:before="120" w:after="120" w:line="240" w:lineRule="exact"/>
            </w:pPr>
            <w:r w:rsidRPr="002C7CD6">
              <w:t>Sterilisationszyklus S: Sterilisation von Produkten nach Herstellerangaben</w:t>
            </w:r>
          </w:p>
          <w:p w:rsidR="00503600" w:rsidRPr="002C7CD6" w:rsidRDefault="00503600" w:rsidP="002C7CD6">
            <w:pPr>
              <w:spacing w:before="120" w:after="120" w:line="240" w:lineRule="exact"/>
            </w:pPr>
            <w:r w:rsidRPr="002C7CD6">
              <w:t>Sterilisationszyklus B: Sterilisation aller verpackten und unverpackten massiven Produkte, Hohlkörper des Typs A (Verhältnis von Länge zu Durchmesser grösser 5)</w:t>
            </w:r>
            <w:r w:rsidRPr="002C7CD6">
              <w:rPr>
                <w:vertAlign w:val="subscript"/>
              </w:rPr>
              <w:t xml:space="preserve"> </w:t>
            </w:r>
            <w:r w:rsidRPr="002C7CD6">
              <w:t>und von porösen Produkten</w:t>
            </w:r>
          </w:p>
        </w:tc>
      </w:tr>
      <w:tr w:rsidR="00503600" w:rsidRPr="002C7CD6">
        <w:tc>
          <w:tcPr>
            <w:tcW w:w="2195" w:type="dxa"/>
          </w:tcPr>
          <w:p w:rsidR="00503600" w:rsidRPr="002C7CD6" w:rsidRDefault="00503600" w:rsidP="002C7CD6">
            <w:pPr>
              <w:spacing w:before="120" w:after="120" w:line="240" w:lineRule="exact"/>
            </w:pPr>
            <w:r w:rsidRPr="002C7CD6">
              <w:t>Swissmedic</w:t>
            </w:r>
          </w:p>
        </w:tc>
        <w:tc>
          <w:tcPr>
            <w:tcW w:w="7552" w:type="dxa"/>
          </w:tcPr>
          <w:p w:rsidR="00503600" w:rsidRPr="002C7CD6" w:rsidRDefault="00503600" w:rsidP="002C7CD6">
            <w:pPr>
              <w:spacing w:before="120" w:after="120" w:line="240" w:lineRule="exact"/>
            </w:pPr>
            <w:r w:rsidRPr="002C7CD6">
              <w:t>Schweizerische Zulassungs- und Aufsichtsbehörde für Arzneimittel und Medizinprodukte</w:t>
            </w:r>
          </w:p>
        </w:tc>
      </w:tr>
      <w:tr w:rsidR="00503600" w:rsidRPr="002C7CD6">
        <w:tc>
          <w:tcPr>
            <w:tcW w:w="2195" w:type="dxa"/>
          </w:tcPr>
          <w:p w:rsidR="00503600" w:rsidRPr="002C7CD6" w:rsidRDefault="00503600" w:rsidP="002C7CD6">
            <w:pPr>
              <w:spacing w:before="120" w:after="120" w:line="240" w:lineRule="exact"/>
            </w:pPr>
            <w:r w:rsidRPr="002C7CD6">
              <w:t>Temperaturmapping</w:t>
            </w:r>
          </w:p>
        </w:tc>
        <w:tc>
          <w:tcPr>
            <w:tcW w:w="7552" w:type="dxa"/>
          </w:tcPr>
          <w:p w:rsidR="00503600" w:rsidRPr="002C7CD6" w:rsidRDefault="00503600" w:rsidP="002C7CD6">
            <w:pPr>
              <w:spacing w:before="120" w:after="120" w:line="240" w:lineRule="exact"/>
            </w:pPr>
            <w:r w:rsidRPr="002C7CD6">
              <w:t>Bestimmung der Temperaturverteilung und der Temperatureinhaltung in definierten Bereichen, z.B. in Lagerräumen</w:t>
            </w:r>
          </w:p>
        </w:tc>
      </w:tr>
      <w:tr w:rsidR="00503600" w:rsidRPr="002C7CD6">
        <w:tc>
          <w:tcPr>
            <w:tcW w:w="2195" w:type="dxa"/>
          </w:tcPr>
          <w:p w:rsidR="00503600" w:rsidRPr="002C7CD6" w:rsidRDefault="00503600" w:rsidP="002C7CD6">
            <w:pPr>
              <w:spacing w:before="120" w:after="120" w:line="240" w:lineRule="exact"/>
            </w:pPr>
            <w:r w:rsidRPr="002C7CD6">
              <w:t>UAW</w:t>
            </w:r>
          </w:p>
        </w:tc>
        <w:tc>
          <w:tcPr>
            <w:tcW w:w="7552" w:type="dxa"/>
          </w:tcPr>
          <w:p w:rsidR="00503600" w:rsidRPr="002C7CD6" w:rsidRDefault="00503600" w:rsidP="002C7CD6">
            <w:pPr>
              <w:spacing w:before="120" w:after="120" w:line="240" w:lineRule="exact"/>
            </w:pPr>
            <w:r w:rsidRPr="002C7CD6">
              <w:t>Unerwünschte Arzneimittelwirkung: Jede schädliche, unbeabsichtigte Wirkung, die während des üblichen Gebrauchs eines Medikaments in normalen Dosen auftritt.</w:t>
            </w:r>
          </w:p>
        </w:tc>
      </w:tr>
      <w:tr w:rsidR="00503600" w:rsidRPr="002C7CD6">
        <w:tc>
          <w:tcPr>
            <w:tcW w:w="2195" w:type="dxa"/>
          </w:tcPr>
          <w:p w:rsidR="00503600" w:rsidRPr="002C7CD6" w:rsidRDefault="00503600" w:rsidP="002C7CD6">
            <w:pPr>
              <w:spacing w:before="120" w:after="120" w:line="240" w:lineRule="exact"/>
            </w:pPr>
            <w:r w:rsidRPr="002C7CD6">
              <w:t>Validierung</w:t>
            </w:r>
          </w:p>
        </w:tc>
        <w:tc>
          <w:tcPr>
            <w:tcW w:w="7552" w:type="dxa"/>
          </w:tcPr>
          <w:p w:rsidR="00503600" w:rsidRPr="002C7CD6" w:rsidRDefault="00503600" w:rsidP="002C7CD6">
            <w:pPr>
              <w:spacing w:before="120" w:after="120" w:line="240" w:lineRule="exact"/>
            </w:pPr>
            <w:r w:rsidRPr="002C7CD6">
              <w:t>Mit der Validierung wird der dokumentierte Beweis erbracht, dass ein Prozess (z.B. eine Labormethode) oder ein System (z.B. ein Messgerät) die vorher spezifizierten Anforderungen reproduzierbar im praktischen Einsatz erfüllt.</w:t>
            </w:r>
          </w:p>
        </w:tc>
      </w:tr>
      <w:tr w:rsidR="00503600" w:rsidRPr="002C7CD6">
        <w:tc>
          <w:tcPr>
            <w:tcW w:w="2195" w:type="dxa"/>
          </w:tcPr>
          <w:p w:rsidR="00503600" w:rsidRPr="002C7CD6" w:rsidRDefault="00503600" w:rsidP="002C7CD6">
            <w:pPr>
              <w:spacing w:before="120" w:after="120" w:line="240" w:lineRule="exact"/>
            </w:pPr>
            <w:r w:rsidRPr="002C7CD6">
              <w:t>VeVA-Begleitschein</w:t>
            </w:r>
          </w:p>
        </w:tc>
        <w:tc>
          <w:tcPr>
            <w:tcW w:w="7552" w:type="dxa"/>
          </w:tcPr>
          <w:p w:rsidR="00503600" w:rsidRPr="002C7CD6" w:rsidRDefault="00503600" w:rsidP="002C7CD6">
            <w:pPr>
              <w:spacing w:before="120" w:after="120" w:line="240" w:lineRule="exact"/>
            </w:pPr>
            <w:r w:rsidRPr="002C7CD6">
              <w:t>Begleitschein für Abfälle gemäss Verordnung über den Verkehr mit Abfällen (VeVA)</w:t>
            </w:r>
          </w:p>
        </w:tc>
      </w:tr>
      <w:tr w:rsidR="00503600" w:rsidRPr="002C7CD6">
        <w:tc>
          <w:tcPr>
            <w:tcW w:w="2195" w:type="dxa"/>
          </w:tcPr>
          <w:p w:rsidR="00503600" w:rsidRPr="002C7CD6" w:rsidRDefault="00503600" w:rsidP="002C7CD6">
            <w:pPr>
              <w:spacing w:before="120" w:after="120" w:line="240" w:lineRule="exact"/>
            </w:pPr>
            <w:r w:rsidRPr="002C7CD6">
              <w:t>Wasserdampfautoklav</w:t>
            </w:r>
          </w:p>
        </w:tc>
        <w:tc>
          <w:tcPr>
            <w:tcW w:w="7552" w:type="dxa"/>
          </w:tcPr>
          <w:p w:rsidR="00503600" w:rsidRPr="002C7CD6" w:rsidRDefault="00503600" w:rsidP="002C7CD6">
            <w:pPr>
              <w:spacing w:before="120" w:after="120" w:line="240" w:lineRule="exact"/>
            </w:pPr>
            <w:r w:rsidRPr="002C7CD6">
              <w:t>Siehe Autoklav</w:t>
            </w:r>
          </w:p>
        </w:tc>
      </w:tr>
      <w:tr w:rsidR="00503600" w:rsidRPr="002C7CD6">
        <w:tc>
          <w:tcPr>
            <w:tcW w:w="2195" w:type="dxa"/>
          </w:tcPr>
          <w:p w:rsidR="00503600" w:rsidRPr="002C7CD6" w:rsidRDefault="00503600" w:rsidP="002C7CD6">
            <w:pPr>
              <w:spacing w:before="120" w:after="120" w:line="240" w:lineRule="exact"/>
            </w:pPr>
            <w:r w:rsidRPr="002C7CD6">
              <w:t>WHO</w:t>
            </w:r>
          </w:p>
        </w:tc>
        <w:tc>
          <w:tcPr>
            <w:tcW w:w="7552" w:type="dxa"/>
          </w:tcPr>
          <w:p w:rsidR="00503600" w:rsidRPr="002C7CD6" w:rsidRDefault="00503600" w:rsidP="002C7CD6">
            <w:pPr>
              <w:spacing w:before="120" w:after="120" w:line="240" w:lineRule="exact"/>
            </w:pPr>
            <w:r w:rsidRPr="002C7CD6">
              <w:t>World Health Organisation; Weltgesundheitsorganisation</w:t>
            </w:r>
          </w:p>
        </w:tc>
      </w:tr>
      <w:tr w:rsidR="00503600" w:rsidRPr="002C7CD6">
        <w:tc>
          <w:tcPr>
            <w:tcW w:w="2195" w:type="dxa"/>
          </w:tcPr>
          <w:p w:rsidR="00503600" w:rsidRPr="002C7CD6" w:rsidRDefault="00503600" w:rsidP="002C7CD6">
            <w:pPr>
              <w:spacing w:before="120" w:after="120" w:line="240" w:lineRule="exact"/>
            </w:pPr>
            <w:r w:rsidRPr="002C7CD6">
              <w:t>Zyklus S oder B</w:t>
            </w:r>
          </w:p>
        </w:tc>
        <w:tc>
          <w:tcPr>
            <w:tcW w:w="7552" w:type="dxa"/>
          </w:tcPr>
          <w:p w:rsidR="00503600" w:rsidRPr="002C7CD6" w:rsidRDefault="00503600" w:rsidP="002C7CD6">
            <w:pPr>
              <w:spacing w:before="120" w:after="120" w:line="240" w:lineRule="exact"/>
            </w:pPr>
            <w:r w:rsidRPr="002C7CD6">
              <w:t>Siehe Sterilisationszyklus S oder B</w:t>
            </w:r>
          </w:p>
        </w:tc>
      </w:tr>
      <w:tr w:rsidR="00503600" w:rsidRPr="002C7CD6">
        <w:tc>
          <w:tcPr>
            <w:tcW w:w="2195" w:type="dxa"/>
          </w:tcPr>
          <w:p w:rsidR="00503600" w:rsidRPr="002C7CD6" w:rsidRDefault="00503600" w:rsidP="002C7CD6">
            <w:pPr>
              <w:spacing w:before="120" w:after="120" w:line="240" w:lineRule="exact"/>
            </w:pPr>
            <w:r w:rsidRPr="002C7CD6">
              <w:t>Zytostatika</w:t>
            </w:r>
          </w:p>
        </w:tc>
        <w:tc>
          <w:tcPr>
            <w:tcW w:w="7552" w:type="dxa"/>
          </w:tcPr>
          <w:p w:rsidR="00503600" w:rsidRPr="002C7CD6" w:rsidRDefault="00503600" w:rsidP="002C7CD6">
            <w:pPr>
              <w:spacing w:before="120" w:after="120" w:line="240" w:lineRule="exact"/>
            </w:pPr>
            <w:r w:rsidRPr="002C7CD6">
              <w:t>Medikamente mit Wirkstoffen, die das Zellwachstum respektive die Zellteilung hemmen.</w:t>
            </w:r>
          </w:p>
        </w:tc>
      </w:tr>
    </w:tbl>
    <w:p w:rsidR="00503600" w:rsidRPr="009A1CB7" w:rsidRDefault="00503600" w:rsidP="005D14F1"/>
    <w:p w:rsidR="00503600" w:rsidRPr="005D14F1" w:rsidRDefault="00503600" w:rsidP="00CE5A66">
      <w:pPr>
        <w:pStyle w:val="NoSpacing"/>
        <w:spacing w:before="120" w:line="240" w:lineRule="exact"/>
        <w:rPr>
          <w:rFonts w:ascii="Arial" w:hAnsi="Arial" w:cs="Arial"/>
          <w:b/>
          <w:sz w:val="20"/>
          <w:szCs w:val="20"/>
        </w:rPr>
      </w:pPr>
    </w:p>
    <w:sectPr w:rsidR="00503600" w:rsidRPr="005D14F1" w:rsidSect="0077005D">
      <w:headerReference w:type="default" r:id="rId7"/>
      <w:footerReference w:type="default" r:id="rId8"/>
      <w:pgSz w:w="11906" w:h="16838" w:code="9"/>
      <w:pgMar w:top="1418" w:right="1021" w:bottom="1134" w:left="1247" w:header="68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600" w:rsidRDefault="00503600" w:rsidP="00FD4C8C">
      <w:r>
        <w:separator/>
      </w:r>
    </w:p>
  </w:endnote>
  <w:endnote w:type="continuationSeparator" w:id="1">
    <w:p w:rsidR="00503600" w:rsidRDefault="00503600" w:rsidP="00FD4C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600" w:rsidRDefault="00503600" w:rsidP="00315F80">
    <w:pPr>
      <w:tabs>
        <w:tab w:val="center" w:pos="4536"/>
        <w:tab w:val="right" w:pos="9072"/>
      </w:tabs>
      <w:jc w:val="right"/>
      <w:rPr>
        <w:bCs/>
        <w:sz w:val="16"/>
        <w:szCs w:val="16"/>
        <w:lang w:val="de-DE" w:eastAsia="de-DE"/>
      </w:rPr>
    </w:pPr>
    <w:r w:rsidRPr="00315F80">
      <w:rPr>
        <w:sz w:val="16"/>
        <w:szCs w:val="16"/>
        <w:lang w:val="de-DE" w:eastAsia="de-DE"/>
      </w:rPr>
      <w:t xml:space="preserve">Seite </w:t>
    </w:r>
    <w:r w:rsidRPr="00315F80">
      <w:rPr>
        <w:bCs/>
        <w:sz w:val="16"/>
        <w:szCs w:val="16"/>
        <w:lang w:val="de-DE" w:eastAsia="de-DE"/>
      </w:rPr>
      <w:fldChar w:fldCharType="begin"/>
    </w:r>
    <w:r w:rsidRPr="00315F80">
      <w:rPr>
        <w:bCs/>
        <w:sz w:val="16"/>
        <w:szCs w:val="16"/>
        <w:lang w:val="de-DE" w:eastAsia="de-DE"/>
      </w:rPr>
      <w:instrText>PAGE</w:instrText>
    </w:r>
    <w:r w:rsidRPr="00315F80">
      <w:rPr>
        <w:bCs/>
        <w:sz w:val="16"/>
        <w:szCs w:val="16"/>
        <w:lang w:val="de-DE" w:eastAsia="de-DE"/>
      </w:rPr>
      <w:fldChar w:fldCharType="separate"/>
    </w:r>
    <w:r>
      <w:rPr>
        <w:bCs/>
        <w:noProof/>
        <w:sz w:val="16"/>
        <w:szCs w:val="16"/>
        <w:lang w:val="de-DE" w:eastAsia="de-DE"/>
      </w:rPr>
      <w:t>1</w:t>
    </w:r>
    <w:r w:rsidRPr="00315F80">
      <w:rPr>
        <w:bCs/>
        <w:sz w:val="16"/>
        <w:szCs w:val="16"/>
        <w:lang w:val="de-DE" w:eastAsia="de-DE"/>
      </w:rPr>
      <w:fldChar w:fldCharType="end"/>
    </w:r>
    <w:r w:rsidRPr="00315F80">
      <w:rPr>
        <w:sz w:val="16"/>
        <w:szCs w:val="16"/>
        <w:lang w:val="de-DE" w:eastAsia="de-DE"/>
      </w:rPr>
      <w:t xml:space="preserve"> von </w:t>
    </w:r>
    <w:r w:rsidRPr="00315F80">
      <w:rPr>
        <w:bCs/>
        <w:sz w:val="16"/>
        <w:szCs w:val="16"/>
        <w:lang w:val="de-DE" w:eastAsia="de-DE"/>
      </w:rPr>
      <w:fldChar w:fldCharType="begin"/>
    </w:r>
    <w:r w:rsidRPr="00315F80">
      <w:rPr>
        <w:bCs/>
        <w:sz w:val="16"/>
        <w:szCs w:val="16"/>
        <w:lang w:val="de-DE" w:eastAsia="de-DE"/>
      </w:rPr>
      <w:instrText>NUMPAGES</w:instrText>
    </w:r>
    <w:r w:rsidRPr="00315F80">
      <w:rPr>
        <w:bCs/>
        <w:sz w:val="16"/>
        <w:szCs w:val="16"/>
        <w:lang w:val="de-DE" w:eastAsia="de-DE"/>
      </w:rPr>
      <w:fldChar w:fldCharType="separate"/>
    </w:r>
    <w:r>
      <w:rPr>
        <w:bCs/>
        <w:noProof/>
        <w:sz w:val="16"/>
        <w:szCs w:val="16"/>
        <w:lang w:val="de-DE" w:eastAsia="de-DE"/>
      </w:rPr>
      <w:t>4</w:t>
    </w:r>
    <w:r w:rsidRPr="00315F80">
      <w:rPr>
        <w:bCs/>
        <w:sz w:val="16"/>
        <w:szCs w:val="16"/>
        <w:lang w:val="de-DE" w:eastAsia="de-DE"/>
      </w:rPr>
      <w:fldChar w:fldCharType="end"/>
    </w:r>
  </w:p>
  <w:p w:rsidR="00503600" w:rsidRPr="0094524A" w:rsidRDefault="00503600" w:rsidP="00315F80">
    <w:pPr>
      <w:tabs>
        <w:tab w:val="center" w:pos="4536"/>
        <w:tab w:val="right" w:pos="9072"/>
      </w:tabs>
      <w:jc w:val="right"/>
      <w:rPr>
        <w:bCs/>
        <w:sz w:val="2"/>
        <w:szCs w:val="2"/>
        <w:lang w:val="de-DE" w:eastAsia="de-DE"/>
      </w:rPr>
    </w:pPr>
  </w:p>
  <w:tbl>
    <w:tblPr>
      <w:tblW w:w="9752" w:type="dxa"/>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4820"/>
      <w:gridCol w:w="4932"/>
    </w:tblGrid>
    <w:tr w:rsidR="00503600" w:rsidRPr="002C7CD6">
      <w:trPr>
        <w:trHeight w:val="266"/>
      </w:trPr>
      <w:tc>
        <w:tcPr>
          <w:tcW w:w="4820" w:type="dxa"/>
        </w:tcPr>
        <w:p w:rsidR="00503600" w:rsidRPr="002C7CD6" w:rsidRDefault="00503600" w:rsidP="0094524A">
          <w:pPr>
            <w:pStyle w:val="Header"/>
            <w:rPr>
              <w:rFonts w:ascii="Arial" w:hAnsi="Arial" w:cs="Arial"/>
              <w:noProof/>
              <w:sz w:val="16"/>
              <w:szCs w:val="16"/>
              <w:lang w:eastAsia="de-CH"/>
            </w:rPr>
          </w:pPr>
          <w:r w:rsidRPr="002C7CD6">
            <w:rPr>
              <w:rFonts w:ascii="Arial" w:hAnsi="Arial" w:cs="Arial"/>
              <w:noProof/>
              <w:sz w:val="16"/>
              <w:szCs w:val="16"/>
              <w:lang w:eastAsia="de-CH"/>
            </w:rPr>
            <w:t xml:space="preserve">Erstellt am: </w:t>
          </w:r>
          <w:r w:rsidRPr="002C7CD6">
            <w:rPr>
              <w:rFonts w:ascii="Arial" w:hAnsi="Arial" w:cs="Arial"/>
              <w:noProof/>
              <w:sz w:val="16"/>
              <w:szCs w:val="16"/>
              <w:shd w:val="clear" w:color="auto" w:fill="DDD9C3"/>
              <w:lang w:eastAsia="de-CH"/>
            </w:rPr>
            <w:fldChar w:fldCharType="begin"/>
          </w:r>
          <w:r w:rsidRPr="002C7CD6">
            <w:rPr>
              <w:rFonts w:ascii="Arial" w:hAnsi="Arial" w:cs="Arial"/>
              <w:noProof/>
              <w:sz w:val="16"/>
              <w:szCs w:val="16"/>
              <w:shd w:val="clear" w:color="auto" w:fill="DDD9C3"/>
              <w:lang w:eastAsia="de-CH"/>
            </w:rPr>
            <w:instrText xml:space="preserve"> TIME \@ "dd.MM.yyyy" </w:instrText>
          </w:r>
          <w:r w:rsidRPr="002C7CD6">
            <w:rPr>
              <w:rFonts w:ascii="Arial" w:hAnsi="Arial" w:cs="Arial"/>
              <w:noProof/>
              <w:sz w:val="16"/>
              <w:szCs w:val="16"/>
              <w:shd w:val="clear" w:color="auto" w:fill="DDD9C3"/>
              <w:lang w:eastAsia="de-CH"/>
            </w:rPr>
            <w:fldChar w:fldCharType="separate"/>
          </w:r>
          <w:r>
            <w:rPr>
              <w:rFonts w:ascii="Arial" w:hAnsi="Arial" w:cs="Arial"/>
              <w:noProof/>
              <w:sz w:val="16"/>
              <w:szCs w:val="16"/>
              <w:shd w:val="clear" w:color="auto" w:fill="DDD9C3"/>
              <w:lang w:eastAsia="de-CH"/>
            </w:rPr>
            <w:t>19.08.2020</w:t>
          </w:r>
          <w:r w:rsidRPr="002C7CD6">
            <w:rPr>
              <w:rFonts w:ascii="Arial" w:hAnsi="Arial" w:cs="Arial"/>
              <w:noProof/>
              <w:sz w:val="16"/>
              <w:szCs w:val="16"/>
              <w:shd w:val="clear" w:color="auto" w:fill="DDD9C3"/>
              <w:lang w:eastAsia="de-CH"/>
            </w:rPr>
            <w:fldChar w:fldCharType="end"/>
          </w:r>
        </w:p>
        <w:p w:rsidR="00503600" w:rsidRPr="002C7CD6" w:rsidRDefault="00503600" w:rsidP="00D444ED">
          <w:pPr>
            <w:pStyle w:val="Header"/>
            <w:rPr>
              <w:rFonts w:ascii="Arial" w:hAnsi="Arial" w:cs="Arial"/>
              <w:noProof/>
              <w:sz w:val="16"/>
              <w:szCs w:val="16"/>
              <w:lang w:eastAsia="de-CH"/>
            </w:rPr>
          </w:pPr>
          <w:r w:rsidRPr="002C7CD6">
            <w:rPr>
              <w:rFonts w:ascii="Arial" w:hAnsi="Arial" w:cs="Arial"/>
              <w:noProof/>
              <w:sz w:val="16"/>
              <w:szCs w:val="16"/>
              <w:lang w:eastAsia="de-CH"/>
            </w:rPr>
            <w:t xml:space="preserve">Erstellt durch: </w:t>
          </w:r>
          <w:r>
            <w:rPr>
              <w:rFonts w:ascii="Arial" w:hAnsi="Arial" w:cs="Arial"/>
              <w:sz w:val="16"/>
              <w:szCs w:val="16"/>
            </w:rPr>
            <w:t>mb</w:t>
          </w:r>
        </w:p>
        <w:p w:rsidR="00503600" w:rsidRPr="002C7CD6" w:rsidRDefault="00503600" w:rsidP="002C7CD6">
          <w:pPr>
            <w:pStyle w:val="Header"/>
            <w:ind w:left="34"/>
            <w:rPr>
              <w:rFonts w:ascii="Arial" w:hAnsi="Arial" w:cs="Arial"/>
              <w:sz w:val="16"/>
              <w:szCs w:val="16"/>
            </w:rPr>
          </w:pPr>
        </w:p>
      </w:tc>
      <w:tc>
        <w:tcPr>
          <w:tcW w:w="4932" w:type="dxa"/>
        </w:tcPr>
        <w:p w:rsidR="00503600" w:rsidRPr="002C7CD6" w:rsidRDefault="00503600" w:rsidP="0094524A">
          <w:pPr>
            <w:pStyle w:val="Header"/>
            <w:rPr>
              <w:rFonts w:ascii="Arial" w:hAnsi="Arial" w:cs="Arial"/>
              <w:noProof/>
              <w:sz w:val="16"/>
              <w:szCs w:val="16"/>
              <w:lang w:eastAsia="de-CH"/>
            </w:rPr>
          </w:pPr>
          <w:r w:rsidRPr="002C7CD6">
            <w:rPr>
              <w:rFonts w:ascii="Arial" w:hAnsi="Arial" w:cs="Arial"/>
              <w:noProof/>
              <w:sz w:val="16"/>
              <w:szCs w:val="16"/>
              <w:lang w:eastAsia="de-CH"/>
            </w:rPr>
            <w:t xml:space="preserve">SOP Version: </w:t>
          </w:r>
          <w:r w:rsidRPr="002C7CD6">
            <w:rPr>
              <w:rFonts w:ascii="Arial" w:hAnsi="Arial" w:cs="Arial"/>
              <w:noProof/>
              <w:sz w:val="16"/>
              <w:szCs w:val="16"/>
              <w:highlight w:val="yellow"/>
              <w:lang w:eastAsia="de-CH"/>
            </w:rPr>
            <w:t>1.0</w:t>
          </w:r>
        </w:p>
        <w:p w:rsidR="00503600" w:rsidRPr="002C7CD6" w:rsidRDefault="00503600" w:rsidP="0094524A">
          <w:pPr>
            <w:pStyle w:val="Header"/>
            <w:rPr>
              <w:rFonts w:ascii="Arial" w:hAnsi="Arial" w:cs="Arial"/>
              <w:sz w:val="16"/>
              <w:szCs w:val="16"/>
            </w:rPr>
          </w:pPr>
          <w:r w:rsidRPr="002C7CD6">
            <w:rPr>
              <w:rFonts w:ascii="Arial" w:hAnsi="Arial" w:cs="Arial"/>
              <w:sz w:val="16"/>
              <w:szCs w:val="16"/>
            </w:rPr>
            <w:t>Verteiler: gemäss Organigramm/Funktionsdiagramm</w:t>
          </w:r>
        </w:p>
        <w:p w:rsidR="00503600" w:rsidRPr="002C7CD6" w:rsidRDefault="00503600" w:rsidP="0094524A">
          <w:pPr>
            <w:pStyle w:val="Header"/>
            <w:rPr>
              <w:rFonts w:ascii="Arial" w:hAnsi="Arial" w:cs="Arial"/>
              <w:sz w:val="16"/>
              <w:szCs w:val="16"/>
            </w:rPr>
          </w:pPr>
        </w:p>
      </w:tc>
    </w:tr>
    <w:tr w:rsidR="00503600" w:rsidRPr="002C7CD6">
      <w:trPr>
        <w:trHeight w:val="538"/>
      </w:trPr>
      <w:tc>
        <w:tcPr>
          <w:tcW w:w="4820" w:type="dxa"/>
        </w:tcPr>
        <w:p w:rsidR="00503600" w:rsidRPr="002C7CD6" w:rsidRDefault="00503600" w:rsidP="00D444ED">
          <w:pPr>
            <w:pStyle w:val="Header"/>
            <w:rPr>
              <w:rFonts w:ascii="Arial" w:hAnsi="Arial" w:cs="Arial"/>
              <w:sz w:val="16"/>
              <w:szCs w:val="16"/>
            </w:rPr>
          </w:pPr>
          <w:r w:rsidRPr="002C7CD6">
            <w:rPr>
              <w:rFonts w:ascii="Arial" w:hAnsi="Arial" w:cs="Arial"/>
              <w:sz w:val="16"/>
              <w:szCs w:val="16"/>
            </w:rPr>
            <w:t xml:space="preserve">Verantwortung: </w:t>
          </w:r>
          <w:r>
            <w:rPr>
              <w:rFonts w:ascii="Arial" w:hAnsi="Arial" w:cs="Arial"/>
              <w:noProof/>
              <w:sz w:val="16"/>
              <w:szCs w:val="16"/>
              <w:lang w:eastAsia="de-CH"/>
            </w:rPr>
            <w:t>mb</w:t>
          </w:r>
        </w:p>
        <w:p w:rsidR="00503600" w:rsidRPr="002C7CD6" w:rsidRDefault="00503600" w:rsidP="0094524A">
          <w:pPr>
            <w:pStyle w:val="Header"/>
            <w:rPr>
              <w:rFonts w:ascii="Arial" w:hAnsi="Arial" w:cs="Arial"/>
              <w:sz w:val="16"/>
              <w:szCs w:val="16"/>
            </w:rPr>
          </w:pPr>
          <w:r w:rsidRPr="002C7CD6">
            <w:rPr>
              <w:rFonts w:ascii="Arial" w:hAnsi="Arial" w:cs="Arial"/>
              <w:sz w:val="16"/>
              <w:szCs w:val="16"/>
            </w:rPr>
            <w:t xml:space="preserve">Freigabe am: </w:t>
          </w:r>
          <w:r w:rsidRPr="002C7CD6">
            <w:rPr>
              <w:rFonts w:ascii="Arial" w:hAnsi="Arial" w:cs="Arial"/>
              <w:i/>
              <w:sz w:val="16"/>
              <w:szCs w:val="16"/>
            </w:rPr>
            <w:t>Datum und Visum</w:t>
          </w:r>
        </w:p>
        <w:p w:rsidR="00503600" w:rsidRPr="002C7CD6" w:rsidRDefault="00503600" w:rsidP="0094524A">
          <w:pPr>
            <w:pStyle w:val="Header"/>
            <w:rPr>
              <w:rFonts w:ascii="Arial" w:hAnsi="Arial" w:cs="Arial"/>
              <w:sz w:val="16"/>
              <w:szCs w:val="16"/>
            </w:rPr>
          </w:pPr>
        </w:p>
      </w:tc>
      <w:tc>
        <w:tcPr>
          <w:tcW w:w="4932" w:type="dxa"/>
        </w:tcPr>
        <w:p w:rsidR="00503600" w:rsidRPr="002C7CD6" w:rsidRDefault="00503600" w:rsidP="0094524A">
          <w:pPr>
            <w:pStyle w:val="Header"/>
            <w:rPr>
              <w:rFonts w:ascii="Arial" w:hAnsi="Arial" w:cs="Arial"/>
              <w:sz w:val="16"/>
              <w:szCs w:val="16"/>
            </w:rPr>
          </w:pPr>
          <w:r w:rsidRPr="002C7CD6">
            <w:rPr>
              <w:rFonts w:ascii="Arial" w:hAnsi="Arial" w:cs="Arial"/>
              <w:noProof/>
              <w:color w:val="000000"/>
              <w:sz w:val="16"/>
              <w:szCs w:val="16"/>
              <w:lang w:eastAsia="de-CH"/>
            </w:rPr>
            <w:t xml:space="preserve">Vorlage Galexis: </w:t>
          </w:r>
          <w:r w:rsidRPr="002C7CD6">
            <w:rPr>
              <w:rFonts w:ascii="Arial" w:hAnsi="Arial" w:cs="Arial"/>
              <w:noProof/>
              <w:sz w:val="16"/>
              <w:szCs w:val="16"/>
              <w:lang w:eastAsia="de-CH"/>
            </w:rPr>
            <w:t>G1</w:t>
          </w:r>
          <w:r w:rsidRPr="002C7CD6">
            <w:rPr>
              <w:rFonts w:ascii="Arial" w:hAnsi="Arial" w:cs="Arial"/>
              <w:sz w:val="16"/>
              <w:szCs w:val="16"/>
            </w:rPr>
            <w:t>.0</w:t>
          </w:r>
        </w:p>
      </w:tc>
    </w:tr>
    <w:tr w:rsidR="00503600" w:rsidRPr="002C7CD6">
      <w:trPr>
        <w:trHeight w:val="223"/>
      </w:trPr>
      <w:tc>
        <w:tcPr>
          <w:tcW w:w="9752" w:type="dxa"/>
          <w:gridSpan w:val="2"/>
        </w:tcPr>
        <w:p w:rsidR="00503600" w:rsidRPr="002C7CD6" w:rsidRDefault="00503600" w:rsidP="0094524A">
          <w:pPr>
            <w:pStyle w:val="Header"/>
            <w:rPr>
              <w:rFonts w:ascii="Arial" w:hAnsi="Arial" w:cs="Arial"/>
              <w:sz w:val="16"/>
              <w:szCs w:val="16"/>
            </w:rPr>
          </w:pPr>
          <w:r w:rsidRPr="002C7CD6">
            <w:rPr>
              <w:rFonts w:ascii="Arial" w:hAnsi="Arial" w:cs="Arial"/>
              <w:noProof/>
              <w:sz w:val="16"/>
              <w:szCs w:val="16"/>
              <w:lang w:eastAsia="de-CH"/>
            </w:rPr>
            <w:t>Pfad:</w:t>
          </w:r>
          <w:r w:rsidRPr="002C7CD6">
            <w:rPr>
              <w:rFonts w:ascii="Arial" w:hAnsi="Arial" w:cs="Arial"/>
              <w:noProof/>
              <w:color w:val="000000"/>
              <w:sz w:val="16"/>
              <w:szCs w:val="16"/>
              <w:lang w:eastAsia="de-CH"/>
            </w:rPr>
            <w:t xml:space="preserve"> </w:t>
          </w:r>
          <w:r>
            <w:rPr>
              <w:rFonts w:ascii="Arial" w:hAnsi="Arial" w:cs="Arial"/>
              <w:noProof/>
              <w:sz w:val="16"/>
              <w:szCs w:val="16"/>
              <w:lang w:eastAsia="de-CH"/>
            </w:rPr>
            <w:t>Intranet Bereich 1</w:t>
          </w:r>
        </w:p>
      </w:tc>
    </w:tr>
  </w:tbl>
  <w:p w:rsidR="00503600" w:rsidRPr="0094524A" w:rsidRDefault="00503600" w:rsidP="0094524A">
    <w:pPr>
      <w:tabs>
        <w:tab w:val="center" w:pos="4536"/>
        <w:tab w:val="right" w:pos="9072"/>
      </w:tabs>
      <w:rPr>
        <w:sz w:val="2"/>
        <w:szCs w:val="2"/>
        <w:lang w:val="de-DE" w:eastAsia="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600" w:rsidRDefault="00503600" w:rsidP="00FD4C8C">
      <w:r>
        <w:separator/>
      </w:r>
    </w:p>
  </w:footnote>
  <w:footnote w:type="continuationSeparator" w:id="1">
    <w:p w:rsidR="00503600" w:rsidRDefault="00503600" w:rsidP="00FD4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59"/>
      <w:gridCol w:w="2580"/>
    </w:tblGrid>
    <w:tr w:rsidR="00503600" w:rsidRPr="002C7CD6">
      <w:trPr>
        <w:trHeight w:val="557"/>
      </w:trPr>
      <w:tc>
        <w:tcPr>
          <w:tcW w:w="7059" w:type="dxa"/>
        </w:tcPr>
        <w:p w:rsidR="00503600" w:rsidRPr="002C7CD6" w:rsidRDefault="00503600" w:rsidP="00992C39">
          <w:pPr>
            <w:pStyle w:val="Header"/>
            <w:rPr>
              <w:rFonts w:ascii="Arial" w:hAnsi="Arial" w:cs="Arial"/>
              <w:sz w:val="16"/>
              <w:szCs w:val="16"/>
            </w:rPr>
          </w:pPr>
          <w:r w:rsidRPr="002C7CD6">
            <w:rPr>
              <w:rFonts w:ascii="Arial" w:hAnsi="Arial" w:cs="Arial"/>
              <w:sz w:val="16"/>
              <w:szCs w:val="16"/>
            </w:rPr>
            <w:t>Qualitätsmanagement Praxisgemeinschaft in der Pünt 8222 Beringen</w:t>
          </w:r>
        </w:p>
        <w:p w:rsidR="00503600" w:rsidRPr="002C7CD6" w:rsidRDefault="00503600" w:rsidP="00992C39">
          <w:pPr>
            <w:pStyle w:val="Header"/>
            <w:rPr>
              <w:rFonts w:ascii="Arial" w:hAnsi="Arial" w:cs="Arial"/>
              <w:sz w:val="16"/>
              <w:szCs w:val="16"/>
            </w:rPr>
          </w:pPr>
        </w:p>
        <w:p w:rsidR="00503600" w:rsidRPr="002C7CD6" w:rsidRDefault="00503600" w:rsidP="00D4560C">
          <w:pPr>
            <w:pStyle w:val="Header"/>
            <w:rPr>
              <w:rFonts w:ascii="Arial" w:hAnsi="Arial" w:cs="Arial"/>
              <w:b/>
              <w:sz w:val="16"/>
              <w:szCs w:val="16"/>
            </w:rPr>
          </w:pPr>
        </w:p>
        <w:p w:rsidR="00503600" w:rsidRPr="002C7CD6" w:rsidRDefault="00503600" w:rsidP="00D4560C">
          <w:pPr>
            <w:pStyle w:val="Header"/>
            <w:rPr>
              <w:rFonts w:ascii="Arial" w:hAnsi="Arial" w:cs="Arial"/>
              <w:sz w:val="16"/>
              <w:szCs w:val="16"/>
            </w:rPr>
          </w:pPr>
          <w:r w:rsidRPr="002C7CD6">
            <w:rPr>
              <w:rFonts w:ascii="Arial" w:hAnsi="Arial" w:cs="Arial"/>
              <w:b/>
              <w:sz w:val="16"/>
              <w:szCs w:val="16"/>
            </w:rPr>
            <w:t xml:space="preserve">AL Glossar </w:t>
          </w:r>
        </w:p>
      </w:tc>
      <w:tc>
        <w:tcPr>
          <w:tcW w:w="2580" w:type="dxa"/>
        </w:tcPr>
        <w:p w:rsidR="00503600" w:rsidRPr="002C7CD6" w:rsidRDefault="00503600" w:rsidP="00992C39">
          <w:pPr>
            <w:pStyle w:val="Header"/>
            <w:rPr>
              <w:rFonts w:ascii="Arial" w:hAnsi="Arial" w:cs="Arial"/>
              <w:b/>
              <w:sz w:val="16"/>
              <w:szCs w:val="16"/>
            </w:rPr>
          </w:pPr>
          <w:r w:rsidRPr="002C7CD6">
            <w:rPr>
              <w:rFonts w:ascii="Arial" w:hAnsi="Arial" w:cs="Arial"/>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25pt;height:44.25pt">
                <v:imagedata r:id="rId1" o:title=""/>
              </v:shape>
            </w:pict>
          </w:r>
        </w:p>
      </w:tc>
    </w:tr>
  </w:tbl>
  <w:p w:rsidR="00503600" w:rsidRPr="00680834" w:rsidRDefault="00503600" w:rsidP="0028154C">
    <w:pPr>
      <w:pStyle w:val="Header"/>
      <w:spacing w:before="120"/>
      <w:rPr>
        <w:rFonts w:ascii="Cambria" w:hAnsi="Cambr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883"/>
    <w:multiLevelType w:val="hybridMultilevel"/>
    <w:tmpl w:val="A5961A1C"/>
    <w:lvl w:ilvl="0" w:tplc="D1CE54CC">
      <w:start w:val="29"/>
      <w:numFmt w:val="bullet"/>
      <w:lvlText w:val="-"/>
      <w:lvlJc w:val="left"/>
      <w:pPr>
        <w:ind w:left="720" w:hanging="360"/>
      </w:pPr>
      <w:rPr>
        <w:rFonts w:ascii="Arial" w:eastAsia="Times New Roman" w:hAnsi="Aria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1">
    <w:nsid w:val="0A4C41B9"/>
    <w:multiLevelType w:val="multilevel"/>
    <w:tmpl w:val="FFC86278"/>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B3D478E"/>
    <w:multiLevelType w:val="hybridMultilevel"/>
    <w:tmpl w:val="2F50577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3">
    <w:nsid w:val="0F6709B5"/>
    <w:multiLevelType w:val="hybridMultilevel"/>
    <w:tmpl w:val="0D90A7A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4">
    <w:nsid w:val="164D29BA"/>
    <w:multiLevelType w:val="hybridMultilevel"/>
    <w:tmpl w:val="18ACDE3E"/>
    <w:lvl w:ilvl="0" w:tplc="9ACC091E">
      <w:numFmt w:val="bullet"/>
      <w:lvlText w:val="-"/>
      <w:lvlJc w:val="left"/>
      <w:pPr>
        <w:ind w:left="720" w:hanging="360"/>
      </w:pPr>
      <w:rPr>
        <w:rFonts w:ascii="Arial" w:eastAsia="Times New Roman" w:hAnsi="Aria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5">
    <w:nsid w:val="18327C93"/>
    <w:multiLevelType w:val="hybridMultilevel"/>
    <w:tmpl w:val="BB9847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6">
    <w:nsid w:val="18BC22AA"/>
    <w:multiLevelType w:val="hybridMultilevel"/>
    <w:tmpl w:val="14A8E0B4"/>
    <w:lvl w:ilvl="0" w:tplc="07769BD8">
      <w:start w:val="4"/>
      <w:numFmt w:val="decimal"/>
      <w:lvlText w:val="%1."/>
      <w:lvlJc w:val="left"/>
      <w:pPr>
        <w:ind w:left="360" w:hanging="360"/>
      </w:pPr>
      <w:rPr>
        <w:rFonts w:cs="Times New Roman" w:hint="default"/>
      </w:rPr>
    </w:lvl>
    <w:lvl w:ilvl="1" w:tplc="08070019">
      <w:start w:val="1"/>
      <w:numFmt w:val="lowerLetter"/>
      <w:lvlText w:val="%2."/>
      <w:lvlJc w:val="left"/>
      <w:pPr>
        <w:ind w:left="1080" w:hanging="360"/>
      </w:pPr>
      <w:rPr>
        <w:rFonts w:cs="Times New Roman"/>
      </w:rPr>
    </w:lvl>
    <w:lvl w:ilvl="2" w:tplc="0807001B">
      <w:start w:val="1"/>
      <w:numFmt w:val="lowerRoman"/>
      <w:lvlText w:val="%3."/>
      <w:lvlJc w:val="right"/>
      <w:pPr>
        <w:ind w:left="1800" w:hanging="180"/>
      </w:pPr>
      <w:rPr>
        <w:rFonts w:cs="Times New Roman"/>
      </w:rPr>
    </w:lvl>
    <w:lvl w:ilvl="3" w:tplc="0807000F">
      <w:start w:val="1"/>
      <w:numFmt w:val="decimal"/>
      <w:lvlText w:val="%4."/>
      <w:lvlJc w:val="left"/>
      <w:pPr>
        <w:ind w:left="2520" w:hanging="360"/>
      </w:pPr>
      <w:rPr>
        <w:rFonts w:cs="Times New Roman"/>
      </w:rPr>
    </w:lvl>
    <w:lvl w:ilvl="4" w:tplc="08070019">
      <w:start w:val="1"/>
      <w:numFmt w:val="lowerLetter"/>
      <w:lvlText w:val="%5."/>
      <w:lvlJc w:val="left"/>
      <w:pPr>
        <w:ind w:left="3240" w:hanging="360"/>
      </w:pPr>
      <w:rPr>
        <w:rFonts w:cs="Times New Roman"/>
      </w:rPr>
    </w:lvl>
    <w:lvl w:ilvl="5" w:tplc="0807001B">
      <w:start w:val="1"/>
      <w:numFmt w:val="lowerRoman"/>
      <w:lvlText w:val="%6."/>
      <w:lvlJc w:val="right"/>
      <w:pPr>
        <w:ind w:left="3960" w:hanging="180"/>
      </w:pPr>
      <w:rPr>
        <w:rFonts w:cs="Times New Roman"/>
      </w:rPr>
    </w:lvl>
    <w:lvl w:ilvl="6" w:tplc="0807000F">
      <w:start w:val="1"/>
      <w:numFmt w:val="decimal"/>
      <w:lvlText w:val="%7."/>
      <w:lvlJc w:val="left"/>
      <w:pPr>
        <w:ind w:left="4680" w:hanging="360"/>
      </w:pPr>
      <w:rPr>
        <w:rFonts w:cs="Times New Roman"/>
      </w:rPr>
    </w:lvl>
    <w:lvl w:ilvl="7" w:tplc="08070019">
      <w:start w:val="1"/>
      <w:numFmt w:val="lowerLetter"/>
      <w:lvlText w:val="%8."/>
      <w:lvlJc w:val="left"/>
      <w:pPr>
        <w:ind w:left="5400" w:hanging="360"/>
      </w:pPr>
      <w:rPr>
        <w:rFonts w:cs="Times New Roman"/>
      </w:rPr>
    </w:lvl>
    <w:lvl w:ilvl="8" w:tplc="0807001B">
      <w:start w:val="1"/>
      <w:numFmt w:val="lowerRoman"/>
      <w:lvlText w:val="%9."/>
      <w:lvlJc w:val="right"/>
      <w:pPr>
        <w:ind w:left="6120" w:hanging="180"/>
      </w:pPr>
      <w:rPr>
        <w:rFonts w:cs="Times New Roman"/>
      </w:rPr>
    </w:lvl>
  </w:abstractNum>
  <w:abstractNum w:abstractNumId="7">
    <w:nsid w:val="1ED22689"/>
    <w:multiLevelType w:val="hybridMultilevel"/>
    <w:tmpl w:val="261427FE"/>
    <w:lvl w:ilvl="0" w:tplc="0407000F">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8">
    <w:nsid w:val="27F51E78"/>
    <w:multiLevelType w:val="hybridMultilevel"/>
    <w:tmpl w:val="3238F7B4"/>
    <w:lvl w:ilvl="0" w:tplc="24A08606">
      <w:start w:val="2"/>
      <w:numFmt w:val="bullet"/>
      <w:lvlText w:val="-"/>
      <w:lvlJc w:val="left"/>
      <w:pPr>
        <w:ind w:left="720" w:hanging="360"/>
      </w:pPr>
      <w:rPr>
        <w:rFonts w:ascii="Arial" w:eastAsia="Wingdings-Regular" w:hAnsi="Aria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9">
    <w:nsid w:val="2EF475F8"/>
    <w:multiLevelType w:val="hybridMultilevel"/>
    <w:tmpl w:val="223CDE22"/>
    <w:lvl w:ilvl="0" w:tplc="0807000F">
      <w:start w:val="1"/>
      <w:numFmt w:val="decimal"/>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10">
    <w:nsid w:val="34057006"/>
    <w:multiLevelType w:val="hybridMultilevel"/>
    <w:tmpl w:val="D73A57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1">
    <w:nsid w:val="51671061"/>
    <w:multiLevelType w:val="hybridMultilevel"/>
    <w:tmpl w:val="20303A6A"/>
    <w:lvl w:ilvl="0" w:tplc="9ACC091E">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587302A1"/>
    <w:multiLevelType w:val="hybridMultilevel"/>
    <w:tmpl w:val="52E20596"/>
    <w:lvl w:ilvl="0" w:tplc="D7465640">
      <w:numFmt w:val="bullet"/>
      <w:lvlText w:val="-"/>
      <w:lvlJc w:val="left"/>
      <w:pPr>
        <w:ind w:left="720" w:hanging="360"/>
      </w:pPr>
      <w:rPr>
        <w:rFonts w:ascii="Arial" w:eastAsia="Times New Roman" w:hAnsi="Aria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13">
    <w:nsid w:val="602231C2"/>
    <w:multiLevelType w:val="hybridMultilevel"/>
    <w:tmpl w:val="17208D94"/>
    <w:lvl w:ilvl="0" w:tplc="9ACC091E">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4">
    <w:nsid w:val="676304C5"/>
    <w:multiLevelType w:val="hybridMultilevel"/>
    <w:tmpl w:val="3722957A"/>
    <w:lvl w:ilvl="0" w:tplc="0B26FC96">
      <w:start w:val="4"/>
      <w:numFmt w:val="decimal"/>
      <w:lvlText w:val="%1."/>
      <w:lvlJc w:val="left"/>
      <w:pPr>
        <w:ind w:left="36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5">
    <w:nsid w:val="68CB070D"/>
    <w:multiLevelType w:val="hybridMultilevel"/>
    <w:tmpl w:val="6DB41174"/>
    <w:lvl w:ilvl="0" w:tplc="9ACC091E">
      <w:numFmt w:val="bullet"/>
      <w:lvlText w:val="-"/>
      <w:lvlJc w:val="left"/>
      <w:pPr>
        <w:ind w:left="788" w:hanging="360"/>
      </w:pPr>
      <w:rPr>
        <w:rFonts w:ascii="Arial" w:eastAsia="Times New Roman" w:hAnsi="Arial" w:hint="default"/>
      </w:rPr>
    </w:lvl>
    <w:lvl w:ilvl="1" w:tplc="04070003">
      <w:start w:val="1"/>
      <w:numFmt w:val="bullet"/>
      <w:lvlText w:val="o"/>
      <w:lvlJc w:val="left"/>
      <w:pPr>
        <w:ind w:left="1508" w:hanging="360"/>
      </w:pPr>
      <w:rPr>
        <w:rFonts w:ascii="Courier New" w:hAnsi="Courier New" w:hint="default"/>
      </w:rPr>
    </w:lvl>
    <w:lvl w:ilvl="2" w:tplc="04070005">
      <w:start w:val="1"/>
      <w:numFmt w:val="bullet"/>
      <w:lvlText w:val=""/>
      <w:lvlJc w:val="left"/>
      <w:pPr>
        <w:ind w:left="2228" w:hanging="360"/>
      </w:pPr>
      <w:rPr>
        <w:rFonts w:ascii="Wingdings" w:hAnsi="Wingdings" w:hint="default"/>
      </w:rPr>
    </w:lvl>
    <w:lvl w:ilvl="3" w:tplc="04070001">
      <w:start w:val="1"/>
      <w:numFmt w:val="bullet"/>
      <w:lvlText w:val=""/>
      <w:lvlJc w:val="left"/>
      <w:pPr>
        <w:ind w:left="2948" w:hanging="360"/>
      </w:pPr>
      <w:rPr>
        <w:rFonts w:ascii="Symbol" w:hAnsi="Symbol" w:hint="default"/>
      </w:rPr>
    </w:lvl>
    <w:lvl w:ilvl="4" w:tplc="04070003">
      <w:start w:val="1"/>
      <w:numFmt w:val="bullet"/>
      <w:lvlText w:val="o"/>
      <w:lvlJc w:val="left"/>
      <w:pPr>
        <w:ind w:left="3668" w:hanging="360"/>
      </w:pPr>
      <w:rPr>
        <w:rFonts w:ascii="Courier New" w:hAnsi="Courier New" w:hint="default"/>
      </w:rPr>
    </w:lvl>
    <w:lvl w:ilvl="5" w:tplc="04070005">
      <w:start w:val="1"/>
      <w:numFmt w:val="bullet"/>
      <w:lvlText w:val=""/>
      <w:lvlJc w:val="left"/>
      <w:pPr>
        <w:ind w:left="4388" w:hanging="360"/>
      </w:pPr>
      <w:rPr>
        <w:rFonts w:ascii="Wingdings" w:hAnsi="Wingdings" w:hint="default"/>
      </w:rPr>
    </w:lvl>
    <w:lvl w:ilvl="6" w:tplc="04070001">
      <w:start w:val="1"/>
      <w:numFmt w:val="bullet"/>
      <w:lvlText w:val=""/>
      <w:lvlJc w:val="left"/>
      <w:pPr>
        <w:ind w:left="5108" w:hanging="360"/>
      </w:pPr>
      <w:rPr>
        <w:rFonts w:ascii="Symbol" w:hAnsi="Symbol" w:hint="default"/>
      </w:rPr>
    </w:lvl>
    <w:lvl w:ilvl="7" w:tplc="04070003">
      <w:start w:val="1"/>
      <w:numFmt w:val="bullet"/>
      <w:lvlText w:val="o"/>
      <w:lvlJc w:val="left"/>
      <w:pPr>
        <w:ind w:left="5828" w:hanging="360"/>
      </w:pPr>
      <w:rPr>
        <w:rFonts w:ascii="Courier New" w:hAnsi="Courier New" w:hint="default"/>
      </w:rPr>
    </w:lvl>
    <w:lvl w:ilvl="8" w:tplc="04070005">
      <w:start w:val="1"/>
      <w:numFmt w:val="bullet"/>
      <w:lvlText w:val=""/>
      <w:lvlJc w:val="left"/>
      <w:pPr>
        <w:ind w:left="6548" w:hanging="360"/>
      </w:pPr>
      <w:rPr>
        <w:rFonts w:ascii="Wingdings" w:hAnsi="Wingdings" w:hint="default"/>
      </w:rPr>
    </w:lvl>
  </w:abstractNum>
  <w:abstractNum w:abstractNumId="16">
    <w:nsid w:val="6D0B13F6"/>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72491C01"/>
    <w:multiLevelType w:val="multilevel"/>
    <w:tmpl w:val="9D8474FA"/>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73ED1A10"/>
    <w:multiLevelType w:val="hybridMultilevel"/>
    <w:tmpl w:val="3B04625C"/>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hint="default"/>
      </w:rPr>
    </w:lvl>
    <w:lvl w:ilvl="8" w:tplc="08070005">
      <w:start w:val="1"/>
      <w:numFmt w:val="bullet"/>
      <w:lvlText w:val=""/>
      <w:lvlJc w:val="left"/>
      <w:pPr>
        <w:ind w:left="6120" w:hanging="360"/>
      </w:pPr>
      <w:rPr>
        <w:rFonts w:ascii="Wingdings" w:hAnsi="Wingdings" w:hint="default"/>
      </w:rPr>
    </w:lvl>
  </w:abstractNum>
  <w:abstractNum w:abstractNumId="19">
    <w:nsid w:val="75767FC4"/>
    <w:multiLevelType w:val="multilevel"/>
    <w:tmpl w:val="E74E34FC"/>
    <w:lvl w:ilvl="0">
      <w:start w:val="3"/>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nsid w:val="77181C1C"/>
    <w:multiLevelType w:val="multilevel"/>
    <w:tmpl w:val="27A6720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7A2F2640"/>
    <w:multiLevelType w:val="hybridMultilevel"/>
    <w:tmpl w:val="3ABEFFA8"/>
    <w:lvl w:ilvl="0" w:tplc="24A08606">
      <w:start w:val="2"/>
      <w:numFmt w:val="bullet"/>
      <w:lvlText w:val="-"/>
      <w:lvlJc w:val="left"/>
      <w:pPr>
        <w:ind w:left="1009" w:hanging="360"/>
      </w:pPr>
      <w:rPr>
        <w:rFonts w:ascii="Arial" w:eastAsia="Wingdings-Regular" w:hAnsi="Arial" w:hint="default"/>
      </w:rPr>
    </w:lvl>
    <w:lvl w:ilvl="1" w:tplc="08070003">
      <w:start w:val="1"/>
      <w:numFmt w:val="bullet"/>
      <w:lvlText w:val="o"/>
      <w:lvlJc w:val="left"/>
      <w:pPr>
        <w:ind w:left="1729" w:hanging="360"/>
      </w:pPr>
      <w:rPr>
        <w:rFonts w:ascii="Courier New" w:hAnsi="Courier New" w:hint="default"/>
      </w:rPr>
    </w:lvl>
    <w:lvl w:ilvl="2" w:tplc="08070005">
      <w:start w:val="1"/>
      <w:numFmt w:val="bullet"/>
      <w:lvlText w:val=""/>
      <w:lvlJc w:val="left"/>
      <w:pPr>
        <w:ind w:left="2449" w:hanging="360"/>
      </w:pPr>
      <w:rPr>
        <w:rFonts w:ascii="Wingdings" w:hAnsi="Wingdings" w:hint="default"/>
      </w:rPr>
    </w:lvl>
    <w:lvl w:ilvl="3" w:tplc="08070001">
      <w:start w:val="1"/>
      <w:numFmt w:val="bullet"/>
      <w:lvlText w:val=""/>
      <w:lvlJc w:val="left"/>
      <w:pPr>
        <w:ind w:left="3169" w:hanging="360"/>
      </w:pPr>
      <w:rPr>
        <w:rFonts w:ascii="Symbol" w:hAnsi="Symbol" w:hint="default"/>
      </w:rPr>
    </w:lvl>
    <w:lvl w:ilvl="4" w:tplc="08070003">
      <w:start w:val="1"/>
      <w:numFmt w:val="bullet"/>
      <w:lvlText w:val="o"/>
      <w:lvlJc w:val="left"/>
      <w:pPr>
        <w:ind w:left="3889" w:hanging="360"/>
      </w:pPr>
      <w:rPr>
        <w:rFonts w:ascii="Courier New" w:hAnsi="Courier New" w:hint="default"/>
      </w:rPr>
    </w:lvl>
    <w:lvl w:ilvl="5" w:tplc="08070005">
      <w:start w:val="1"/>
      <w:numFmt w:val="bullet"/>
      <w:lvlText w:val=""/>
      <w:lvlJc w:val="left"/>
      <w:pPr>
        <w:ind w:left="4609" w:hanging="360"/>
      </w:pPr>
      <w:rPr>
        <w:rFonts w:ascii="Wingdings" w:hAnsi="Wingdings" w:hint="default"/>
      </w:rPr>
    </w:lvl>
    <w:lvl w:ilvl="6" w:tplc="08070001">
      <w:start w:val="1"/>
      <w:numFmt w:val="bullet"/>
      <w:lvlText w:val=""/>
      <w:lvlJc w:val="left"/>
      <w:pPr>
        <w:ind w:left="5329" w:hanging="360"/>
      </w:pPr>
      <w:rPr>
        <w:rFonts w:ascii="Symbol" w:hAnsi="Symbol" w:hint="default"/>
      </w:rPr>
    </w:lvl>
    <w:lvl w:ilvl="7" w:tplc="08070003">
      <w:start w:val="1"/>
      <w:numFmt w:val="bullet"/>
      <w:lvlText w:val="o"/>
      <w:lvlJc w:val="left"/>
      <w:pPr>
        <w:ind w:left="6049" w:hanging="360"/>
      </w:pPr>
      <w:rPr>
        <w:rFonts w:ascii="Courier New" w:hAnsi="Courier New" w:hint="default"/>
      </w:rPr>
    </w:lvl>
    <w:lvl w:ilvl="8" w:tplc="08070005">
      <w:start w:val="1"/>
      <w:numFmt w:val="bullet"/>
      <w:lvlText w:val=""/>
      <w:lvlJc w:val="left"/>
      <w:pPr>
        <w:ind w:left="6769" w:hanging="360"/>
      </w:pPr>
      <w:rPr>
        <w:rFonts w:ascii="Wingdings" w:hAnsi="Wingdings" w:hint="default"/>
      </w:rPr>
    </w:lvl>
  </w:abstractNum>
  <w:abstractNum w:abstractNumId="22">
    <w:nsid w:val="7A46281E"/>
    <w:multiLevelType w:val="hybridMultilevel"/>
    <w:tmpl w:val="78362F1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20"/>
  </w:num>
  <w:num w:numId="5">
    <w:abstractNumId w:val="12"/>
  </w:num>
  <w:num w:numId="6">
    <w:abstractNumId w:val="22"/>
  </w:num>
  <w:num w:numId="7">
    <w:abstractNumId w:val="5"/>
  </w:num>
  <w:num w:numId="8">
    <w:abstractNumId w:val="3"/>
  </w:num>
  <w:num w:numId="9">
    <w:abstractNumId w:val="9"/>
  </w:num>
  <w:num w:numId="10">
    <w:abstractNumId w:val="18"/>
  </w:num>
  <w:num w:numId="11">
    <w:abstractNumId w:val="21"/>
  </w:num>
  <w:num w:numId="12">
    <w:abstractNumId w:val="8"/>
  </w:num>
  <w:num w:numId="13">
    <w:abstractNumId w:val="10"/>
  </w:num>
  <w:num w:numId="14">
    <w:abstractNumId w:val="6"/>
  </w:num>
  <w:num w:numId="15">
    <w:abstractNumId w:val="11"/>
  </w:num>
  <w:num w:numId="16">
    <w:abstractNumId w:val="16"/>
  </w:num>
  <w:num w:numId="17">
    <w:abstractNumId w:val="1"/>
  </w:num>
  <w:num w:numId="18">
    <w:abstractNumId w:val="14"/>
  </w:num>
  <w:num w:numId="19">
    <w:abstractNumId w:val="17"/>
  </w:num>
  <w:num w:numId="20">
    <w:abstractNumId w:val="7"/>
  </w:num>
  <w:num w:numId="21">
    <w:abstractNumId w:val="15"/>
  </w:num>
  <w:num w:numId="22">
    <w:abstractNumId w:val="13"/>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C8C"/>
    <w:rsid w:val="00022CE9"/>
    <w:rsid w:val="0002377C"/>
    <w:rsid w:val="000540E0"/>
    <w:rsid w:val="00055746"/>
    <w:rsid w:val="00081A4B"/>
    <w:rsid w:val="000930A0"/>
    <w:rsid w:val="000956EC"/>
    <w:rsid w:val="000977E6"/>
    <w:rsid w:val="000B246B"/>
    <w:rsid w:val="000C2834"/>
    <w:rsid w:val="000D26E0"/>
    <w:rsid w:val="000F66B7"/>
    <w:rsid w:val="0012761A"/>
    <w:rsid w:val="00141D1A"/>
    <w:rsid w:val="00143E8F"/>
    <w:rsid w:val="00144C4A"/>
    <w:rsid w:val="00162572"/>
    <w:rsid w:val="00174575"/>
    <w:rsid w:val="001832CD"/>
    <w:rsid w:val="00193FC5"/>
    <w:rsid w:val="001A0BA6"/>
    <w:rsid w:val="001C2DD9"/>
    <w:rsid w:val="001C338D"/>
    <w:rsid w:val="001E0B8E"/>
    <w:rsid w:val="001E1ED9"/>
    <w:rsid w:val="00201CA1"/>
    <w:rsid w:val="00206672"/>
    <w:rsid w:val="00214270"/>
    <w:rsid w:val="0024309F"/>
    <w:rsid w:val="00262AFA"/>
    <w:rsid w:val="00277338"/>
    <w:rsid w:val="0028154C"/>
    <w:rsid w:val="002909A8"/>
    <w:rsid w:val="00293B48"/>
    <w:rsid w:val="00294B00"/>
    <w:rsid w:val="002A2160"/>
    <w:rsid w:val="002C6E3C"/>
    <w:rsid w:val="002C7CD6"/>
    <w:rsid w:val="002E6FD7"/>
    <w:rsid w:val="00314021"/>
    <w:rsid w:val="00315D97"/>
    <w:rsid w:val="00315F80"/>
    <w:rsid w:val="00321C9B"/>
    <w:rsid w:val="00327CC9"/>
    <w:rsid w:val="00343E6E"/>
    <w:rsid w:val="00351C4B"/>
    <w:rsid w:val="00354A0A"/>
    <w:rsid w:val="003622E2"/>
    <w:rsid w:val="00372899"/>
    <w:rsid w:val="00376EF6"/>
    <w:rsid w:val="00380580"/>
    <w:rsid w:val="003817C4"/>
    <w:rsid w:val="00381EAB"/>
    <w:rsid w:val="00383F3B"/>
    <w:rsid w:val="003A020E"/>
    <w:rsid w:val="003A54C7"/>
    <w:rsid w:val="003B17EC"/>
    <w:rsid w:val="003D11FA"/>
    <w:rsid w:val="003E166D"/>
    <w:rsid w:val="003E5B3A"/>
    <w:rsid w:val="003F4BA6"/>
    <w:rsid w:val="00453BD5"/>
    <w:rsid w:val="004802EF"/>
    <w:rsid w:val="00481A00"/>
    <w:rsid w:val="004A1EF2"/>
    <w:rsid w:val="004D2F28"/>
    <w:rsid w:val="004E2CA1"/>
    <w:rsid w:val="00503600"/>
    <w:rsid w:val="00504083"/>
    <w:rsid w:val="0052062D"/>
    <w:rsid w:val="00541A9C"/>
    <w:rsid w:val="00554EF9"/>
    <w:rsid w:val="00564167"/>
    <w:rsid w:val="00582C34"/>
    <w:rsid w:val="005842B2"/>
    <w:rsid w:val="005D007C"/>
    <w:rsid w:val="005D14F1"/>
    <w:rsid w:val="005E4868"/>
    <w:rsid w:val="005E62C3"/>
    <w:rsid w:val="005F2C39"/>
    <w:rsid w:val="00604294"/>
    <w:rsid w:val="006154E0"/>
    <w:rsid w:val="0061757B"/>
    <w:rsid w:val="00652B21"/>
    <w:rsid w:val="00677117"/>
    <w:rsid w:val="00680834"/>
    <w:rsid w:val="00686A49"/>
    <w:rsid w:val="006A5F0F"/>
    <w:rsid w:val="006A7502"/>
    <w:rsid w:val="006B1103"/>
    <w:rsid w:val="006B3446"/>
    <w:rsid w:val="006C15FD"/>
    <w:rsid w:val="006E25C6"/>
    <w:rsid w:val="006F1CD4"/>
    <w:rsid w:val="007118FE"/>
    <w:rsid w:val="00715694"/>
    <w:rsid w:val="00721F98"/>
    <w:rsid w:val="00740D77"/>
    <w:rsid w:val="007507B4"/>
    <w:rsid w:val="0077005D"/>
    <w:rsid w:val="0078016C"/>
    <w:rsid w:val="00780FB4"/>
    <w:rsid w:val="00797FD7"/>
    <w:rsid w:val="007A2137"/>
    <w:rsid w:val="007B0CE8"/>
    <w:rsid w:val="007B3309"/>
    <w:rsid w:val="007B5F65"/>
    <w:rsid w:val="007C00C8"/>
    <w:rsid w:val="007D1AD3"/>
    <w:rsid w:val="007E4603"/>
    <w:rsid w:val="007F10B3"/>
    <w:rsid w:val="007F22A5"/>
    <w:rsid w:val="007F65DE"/>
    <w:rsid w:val="008036CA"/>
    <w:rsid w:val="00804D46"/>
    <w:rsid w:val="00810B15"/>
    <w:rsid w:val="008319C1"/>
    <w:rsid w:val="00832F9F"/>
    <w:rsid w:val="0083403E"/>
    <w:rsid w:val="0083457D"/>
    <w:rsid w:val="00857BAE"/>
    <w:rsid w:val="008A6A0C"/>
    <w:rsid w:val="008D0BC2"/>
    <w:rsid w:val="008E4832"/>
    <w:rsid w:val="008E5793"/>
    <w:rsid w:val="00916162"/>
    <w:rsid w:val="00924052"/>
    <w:rsid w:val="00936945"/>
    <w:rsid w:val="00940C11"/>
    <w:rsid w:val="00943FB3"/>
    <w:rsid w:val="0094524A"/>
    <w:rsid w:val="00984A4A"/>
    <w:rsid w:val="00992901"/>
    <w:rsid w:val="00992C39"/>
    <w:rsid w:val="009A1CB7"/>
    <w:rsid w:val="009B1E70"/>
    <w:rsid w:val="009B6F12"/>
    <w:rsid w:val="009F05F5"/>
    <w:rsid w:val="009F4C9D"/>
    <w:rsid w:val="009F6440"/>
    <w:rsid w:val="009F7A13"/>
    <w:rsid w:val="009F7BF5"/>
    <w:rsid w:val="00A064FE"/>
    <w:rsid w:val="00A226FF"/>
    <w:rsid w:val="00A36109"/>
    <w:rsid w:val="00A57583"/>
    <w:rsid w:val="00A65BC1"/>
    <w:rsid w:val="00A70CA5"/>
    <w:rsid w:val="00A84BC0"/>
    <w:rsid w:val="00A84DDF"/>
    <w:rsid w:val="00A86289"/>
    <w:rsid w:val="00AB062D"/>
    <w:rsid w:val="00AB22C1"/>
    <w:rsid w:val="00AB4D16"/>
    <w:rsid w:val="00AB4E7D"/>
    <w:rsid w:val="00AE737E"/>
    <w:rsid w:val="00AF4827"/>
    <w:rsid w:val="00B042E7"/>
    <w:rsid w:val="00B11DC3"/>
    <w:rsid w:val="00B35804"/>
    <w:rsid w:val="00B3691E"/>
    <w:rsid w:val="00B66B4B"/>
    <w:rsid w:val="00B70302"/>
    <w:rsid w:val="00B92AFD"/>
    <w:rsid w:val="00BA23A4"/>
    <w:rsid w:val="00BC2B0A"/>
    <w:rsid w:val="00BF4FF3"/>
    <w:rsid w:val="00BF7DFB"/>
    <w:rsid w:val="00C03A7B"/>
    <w:rsid w:val="00C05518"/>
    <w:rsid w:val="00C16FC0"/>
    <w:rsid w:val="00C21037"/>
    <w:rsid w:val="00C374E4"/>
    <w:rsid w:val="00C37C21"/>
    <w:rsid w:val="00C54C5B"/>
    <w:rsid w:val="00C55E10"/>
    <w:rsid w:val="00C745AA"/>
    <w:rsid w:val="00C844B7"/>
    <w:rsid w:val="00C95CA8"/>
    <w:rsid w:val="00C972B8"/>
    <w:rsid w:val="00CA790D"/>
    <w:rsid w:val="00CA7EE0"/>
    <w:rsid w:val="00CB146A"/>
    <w:rsid w:val="00CB6847"/>
    <w:rsid w:val="00CB69F9"/>
    <w:rsid w:val="00CC4FDD"/>
    <w:rsid w:val="00CD3412"/>
    <w:rsid w:val="00CE5A66"/>
    <w:rsid w:val="00CE6DCF"/>
    <w:rsid w:val="00D0449B"/>
    <w:rsid w:val="00D12B99"/>
    <w:rsid w:val="00D1481F"/>
    <w:rsid w:val="00D22B99"/>
    <w:rsid w:val="00D24310"/>
    <w:rsid w:val="00D271AC"/>
    <w:rsid w:val="00D444ED"/>
    <w:rsid w:val="00D4560C"/>
    <w:rsid w:val="00D555BE"/>
    <w:rsid w:val="00D5740B"/>
    <w:rsid w:val="00D6488B"/>
    <w:rsid w:val="00D74192"/>
    <w:rsid w:val="00D90632"/>
    <w:rsid w:val="00DE6B7C"/>
    <w:rsid w:val="00E01179"/>
    <w:rsid w:val="00E07722"/>
    <w:rsid w:val="00E11BA0"/>
    <w:rsid w:val="00E15900"/>
    <w:rsid w:val="00E23807"/>
    <w:rsid w:val="00E23AC9"/>
    <w:rsid w:val="00E27303"/>
    <w:rsid w:val="00E33BC2"/>
    <w:rsid w:val="00E65803"/>
    <w:rsid w:val="00E65932"/>
    <w:rsid w:val="00E67D23"/>
    <w:rsid w:val="00E83BA6"/>
    <w:rsid w:val="00E940CE"/>
    <w:rsid w:val="00EB2B2B"/>
    <w:rsid w:val="00EC2DED"/>
    <w:rsid w:val="00ED6633"/>
    <w:rsid w:val="00ED79C3"/>
    <w:rsid w:val="00EE2053"/>
    <w:rsid w:val="00EE4BA0"/>
    <w:rsid w:val="00EF0072"/>
    <w:rsid w:val="00EF0276"/>
    <w:rsid w:val="00EF2DEC"/>
    <w:rsid w:val="00EF2E18"/>
    <w:rsid w:val="00EF5AAC"/>
    <w:rsid w:val="00F016F3"/>
    <w:rsid w:val="00F223CD"/>
    <w:rsid w:val="00F57012"/>
    <w:rsid w:val="00F62B0F"/>
    <w:rsid w:val="00F63037"/>
    <w:rsid w:val="00F72907"/>
    <w:rsid w:val="00F75FD4"/>
    <w:rsid w:val="00F91BFB"/>
    <w:rsid w:val="00FA5D75"/>
    <w:rsid w:val="00FC3D92"/>
    <w:rsid w:val="00FC65D0"/>
    <w:rsid w:val="00FD4C8C"/>
    <w:rsid w:val="00FE0FBC"/>
    <w:rsid w:val="00FE32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F1"/>
    <w:rPr>
      <w:rFonts w:ascii="Arial" w:hAnsi="Arial" w:cs="Arial"/>
      <w:sz w:val="20"/>
      <w:szCs w:val="20"/>
      <w:lang w:val="de-CH"/>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4C8C"/>
    <w:pPr>
      <w:tabs>
        <w:tab w:val="center" w:pos="4536"/>
        <w:tab w:val="right" w:pos="9072"/>
      </w:tabs>
    </w:pPr>
    <w:rPr>
      <w:rFonts w:ascii="Calibri" w:hAnsi="Calibri" w:cs="Times New Roman"/>
      <w:sz w:val="22"/>
      <w:szCs w:val="22"/>
    </w:rPr>
  </w:style>
  <w:style w:type="character" w:customStyle="1" w:styleId="HeaderChar">
    <w:name w:val="Header Char"/>
    <w:basedOn w:val="DefaultParagraphFont"/>
    <w:link w:val="Header"/>
    <w:uiPriority w:val="99"/>
    <w:locked/>
    <w:rsid w:val="00FD4C8C"/>
    <w:rPr>
      <w:rFonts w:cs="Times New Roman"/>
    </w:rPr>
  </w:style>
  <w:style w:type="paragraph" w:styleId="Footer">
    <w:name w:val="footer"/>
    <w:basedOn w:val="Normal"/>
    <w:link w:val="FooterChar"/>
    <w:uiPriority w:val="99"/>
    <w:rsid w:val="00FD4C8C"/>
    <w:pPr>
      <w:tabs>
        <w:tab w:val="center" w:pos="4536"/>
        <w:tab w:val="right" w:pos="9072"/>
      </w:tabs>
    </w:pPr>
    <w:rPr>
      <w:rFonts w:ascii="Calibri" w:hAnsi="Calibri" w:cs="Times New Roman"/>
      <w:sz w:val="22"/>
      <w:szCs w:val="22"/>
    </w:rPr>
  </w:style>
  <w:style w:type="character" w:customStyle="1" w:styleId="FooterChar">
    <w:name w:val="Footer Char"/>
    <w:basedOn w:val="DefaultParagraphFont"/>
    <w:link w:val="Footer"/>
    <w:uiPriority w:val="99"/>
    <w:locked/>
    <w:rsid w:val="00FD4C8C"/>
    <w:rPr>
      <w:rFonts w:cs="Times New Roman"/>
    </w:rPr>
  </w:style>
  <w:style w:type="paragraph" w:styleId="BalloonText">
    <w:name w:val="Balloon Text"/>
    <w:basedOn w:val="Normal"/>
    <w:link w:val="BalloonTextChar"/>
    <w:uiPriority w:val="99"/>
    <w:semiHidden/>
    <w:rsid w:val="00FD4C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C8C"/>
    <w:rPr>
      <w:rFonts w:ascii="Tahoma" w:hAnsi="Tahoma" w:cs="Tahoma"/>
      <w:sz w:val="16"/>
      <w:szCs w:val="16"/>
    </w:rPr>
  </w:style>
  <w:style w:type="table" w:styleId="TableGrid">
    <w:name w:val="Table Grid"/>
    <w:basedOn w:val="TableNormal"/>
    <w:uiPriority w:val="99"/>
    <w:rsid w:val="00FD4C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081A4B"/>
    <w:rPr>
      <w:lang w:val="de-CH"/>
    </w:rPr>
  </w:style>
  <w:style w:type="paragraph" w:styleId="ListParagraph">
    <w:name w:val="List Paragraph"/>
    <w:basedOn w:val="Normal"/>
    <w:uiPriority w:val="99"/>
    <w:qFormat/>
    <w:rsid w:val="00C54C5B"/>
    <w:pPr>
      <w:ind w:left="720"/>
    </w:pPr>
    <w:rPr>
      <w:rFonts w:cs="Times New Roman"/>
      <w:szCs w:val="22"/>
    </w:rPr>
  </w:style>
  <w:style w:type="character" w:styleId="CommentReference">
    <w:name w:val="annotation reference"/>
    <w:basedOn w:val="DefaultParagraphFont"/>
    <w:uiPriority w:val="99"/>
    <w:semiHidden/>
    <w:rsid w:val="001E0B8E"/>
    <w:rPr>
      <w:rFonts w:cs="Times New Roman"/>
      <w:sz w:val="16"/>
      <w:szCs w:val="16"/>
    </w:rPr>
  </w:style>
  <w:style w:type="paragraph" w:styleId="CommentText">
    <w:name w:val="annotation text"/>
    <w:basedOn w:val="Normal"/>
    <w:link w:val="CommentTextChar"/>
    <w:uiPriority w:val="99"/>
    <w:semiHidden/>
    <w:rsid w:val="001E0B8E"/>
    <w:pPr>
      <w:spacing w:after="200"/>
    </w:pPr>
    <w:rPr>
      <w:rFonts w:ascii="Calibri" w:hAnsi="Calibri" w:cs="Times New Roman"/>
    </w:rPr>
  </w:style>
  <w:style w:type="character" w:customStyle="1" w:styleId="CommentTextChar">
    <w:name w:val="Comment Text Char"/>
    <w:basedOn w:val="DefaultParagraphFont"/>
    <w:link w:val="CommentText"/>
    <w:uiPriority w:val="99"/>
    <w:locked/>
    <w:rsid w:val="001E0B8E"/>
    <w:rPr>
      <w:rFonts w:cs="Times New Roman"/>
      <w:sz w:val="20"/>
      <w:szCs w:val="20"/>
    </w:rPr>
  </w:style>
  <w:style w:type="paragraph" w:styleId="CommentSubject">
    <w:name w:val="annotation subject"/>
    <w:basedOn w:val="CommentText"/>
    <w:next w:val="CommentText"/>
    <w:link w:val="CommentSubjectChar"/>
    <w:uiPriority w:val="99"/>
    <w:semiHidden/>
    <w:rsid w:val="001E0B8E"/>
    <w:rPr>
      <w:b/>
      <w:bCs/>
    </w:rPr>
  </w:style>
  <w:style w:type="character" w:customStyle="1" w:styleId="CommentSubjectChar">
    <w:name w:val="Comment Subject Char"/>
    <w:basedOn w:val="CommentTextChar"/>
    <w:link w:val="CommentSubject"/>
    <w:uiPriority w:val="99"/>
    <w:semiHidden/>
    <w:locked/>
    <w:rsid w:val="001E0B8E"/>
    <w:rPr>
      <w:b/>
      <w:bCs/>
    </w:rPr>
  </w:style>
  <w:style w:type="character" w:styleId="Hyperlink">
    <w:name w:val="Hyperlink"/>
    <w:basedOn w:val="DefaultParagraphFont"/>
    <w:uiPriority w:val="99"/>
    <w:rsid w:val="00810B15"/>
    <w:rPr>
      <w:rFonts w:cs="Times New Roman"/>
      <w:color w:val="0000FF"/>
      <w:u w:val="single"/>
    </w:rPr>
  </w:style>
  <w:style w:type="paragraph" w:styleId="Revision">
    <w:name w:val="Revision"/>
    <w:hidden/>
    <w:uiPriority w:val="99"/>
    <w:semiHidden/>
    <w:rsid w:val="000B246B"/>
    <w:rPr>
      <w:lang w:val="de-CH"/>
    </w:rPr>
  </w:style>
  <w:style w:type="character" w:customStyle="1" w:styleId="UnresolvedMention">
    <w:name w:val="Unresolved Mention"/>
    <w:basedOn w:val="DefaultParagraphFont"/>
    <w:uiPriority w:val="99"/>
    <w:semiHidden/>
    <w:rsid w:val="00721F98"/>
    <w:rPr>
      <w:rFonts w:cs="Times New Roman"/>
      <w:color w:val="808080"/>
      <w:shd w:val="clear" w:color="auto" w:fill="auto"/>
    </w:rPr>
  </w:style>
  <w:style w:type="character" w:styleId="FollowedHyperlink">
    <w:name w:val="FollowedHyperlink"/>
    <w:basedOn w:val="DefaultParagraphFont"/>
    <w:uiPriority w:val="99"/>
    <w:semiHidden/>
    <w:rsid w:val="00F223CD"/>
    <w:rPr>
      <w:rFonts w:cs="Times New Roman"/>
      <w:color w:val="800080"/>
      <w:u w:val="single"/>
    </w:rPr>
  </w:style>
  <w:style w:type="character" w:styleId="Emphasis">
    <w:name w:val="Emphasis"/>
    <w:basedOn w:val="DefaultParagraphFont"/>
    <w:uiPriority w:val="99"/>
    <w:qFormat/>
    <w:rsid w:val="005D14F1"/>
    <w:rPr>
      <w:rFonts w:cs="Times New Roman"/>
      <w:i/>
      <w:iCs/>
    </w:rPr>
  </w:style>
  <w:style w:type="character" w:customStyle="1" w:styleId="e24kjd">
    <w:name w:val="e24kjd"/>
    <w:basedOn w:val="DefaultParagraphFont"/>
    <w:uiPriority w:val="99"/>
    <w:rsid w:val="00D90632"/>
    <w:rPr>
      <w:rFonts w:cs="Times New Roman"/>
    </w:rPr>
  </w:style>
</w:styles>
</file>

<file path=word/webSettings.xml><?xml version="1.0" encoding="utf-8"?>
<w:webSettings xmlns:r="http://schemas.openxmlformats.org/officeDocument/2006/relationships" xmlns:w="http://schemas.openxmlformats.org/wordprocessingml/2006/main">
  <w:divs>
    <w:div w:id="115220629">
      <w:marLeft w:val="0"/>
      <w:marRight w:val="0"/>
      <w:marTop w:val="0"/>
      <w:marBottom w:val="0"/>
      <w:divBdr>
        <w:top w:val="none" w:sz="0" w:space="0" w:color="auto"/>
        <w:left w:val="none" w:sz="0" w:space="0" w:color="auto"/>
        <w:bottom w:val="none" w:sz="0" w:space="0" w:color="auto"/>
        <w:right w:val="none" w:sz="0" w:space="0" w:color="auto"/>
      </w:divBdr>
    </w:div>
    <w:div w:id="115220630">
      <w:marLeft w:val="0"/>
      <w:marRight w:val="0"/>
      <w:marTop w:val="0"/>
      <w:marBottom w:val="0"/>
      <w:divBdr>
        <w:top w:val="none" w:sz="0" w:space="0" w:color="auto"/>
        <w:left w:val="none" w:sz="0" w:space="0" w:color="auto"/>
        <w:bottom w:val="none" w:sz="0" w:space="0" w:color="auto"/>
        <w:right w:val="none" w:sz="0" w:space="0" w:color="auto"/>
      </w:divBdr>
    </w:div>
    <w:div w:id="115220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1051</Words>
  <Characters>6622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Leona Verona</dc:creator>
  <cp:keywords/>
  <dc:description/>
  <cp:lastModifiedBy>Martin Bösch</cp:lastModifiedBy>
  <cp:revision>6</cp:revision>
  <cp:lastPrinted>2019-01-24T13:43:00Z</cp:lastPrinted>
  <dcterms:created xsi:type="dcterms:W3CDTF">2019-08-13T14:30:00Z</dcterms:created>
  <dcterms:modified xsi:type="dcterms:W3CDTF">2020-08-19T19:17:00Z</dcterms:modified>
</cp:coreProperties>
</file>