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37" w:rsidRDefault="00C87737">
      <w:pPr>
        <w:spacing w:before="167"/>
        <w:ind w:left="114"/>
        <w:rPr>
          <w:sz w:val="100"/>
        </w:rPr>
      </w:pPr>
      <w:r>
        <w:rPr>
          <w:color w:val="5AA3D2"/>
          <w:sz w:val="100"/>
        </w:rPr>
        <w:t>Inhaltsverzeichnis</w:t>
      </w: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  <w:spacing w:before="100"/>
      </w:pPr>
      <w:r>
        <w:rPr>
          <w:color w:val="1A537E"/>
        </w:rPr>
        <w:t>Erstellung, Änderung und Lenkung von</w:t>
      </w:r>
      <w:r>
        <w:rPr>
          <w:color w:val="1A537E"/>
          <w:spacing w:val="-20"/>
        </w:rPr>
        <w:t xml:space="preserve"> </w:t>
      </w:r>
      <w:r>
        <w:rPr>
          <w:color w:val="1A537E"/>
        </w:rPr>
        <w:t>Dokumenten</w:t>
      </w:r>
    </w:p>
    <w:p w:rsidR="00C87737" w:rsidRDefault="00C87737" w:rsidP="00DD0183">
      <w:pPr>
        <w:pStyle w:val="BodyText"/>
        <w:spacing w:before="243" w:line="292" w:lineRule="auto"/>
        <w:ind w:right="70"/>
        <w:rPr>
          <w:color w:val="231F20"/>
        </w:rPr>
      </w:pPr>
      <w:r>
        <w:rPr>
          <w:color w:val="231F20"/>
        </w:rPr>
        <w:t>Erstellung, Änderung und Lenkung von Dokumenten (SOP)</w:t>
      </w:r>
    </w:p>
    <w:p w:rsidR="00C87737" w:rsidRDefault="00C87737" w:rsidP="00DD0183">
      <w:pPr>
        <w:pStyle w:val="BodyText"/>
        <w:spacing w:before="243" w:line="292" w:lineRule="auto"/>
        <w:ind w:right="70"/>
      </w:pPr>
      <w:r>
        <w:rPr>
          <w:color w:val="231F20"/>
        </w:rPr>
        <w:t>Vorlage für neue Arbeitsanweisung (AL)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Vorlage für neues Protokoll (AL) Versionenkontrolle Kapitel 1 (AP)</w:t>
      </w:r>
    </w:p>
    <w:p w:rsidR="00C87737" w:rsidRDefault="00C87737" w:rsidP="00DD0183">
      <w:pPr>
        <w:pStyle w:val="BodyText"/>
        <w:spacing w:before="0"/>
        <w:ind w:left="0" w:right="70"/>
        <w:rPr>
          <w:sz w:val="22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Personal</w:t>
      </w:r>
    </w:p>
    <w:p w:rsidR="00C87737" w:rsidRPr="00DD0183" w:rsidRDefault="00C87737" w:rsidP="00DD0183">
      <w:pPr>
        <w:pStyle w:val="BodyText"/>
        <w:spacing w:before="243" w:line="292" w:lineRule="auto"/>
        <w:ind w:right="70"/>
        <w:rPr>
          <w:color w:val="231F20"/>
        </w:rPr>
      </w:pPr>
      <w:r>
        <w:rPr>
          <w:color w:val="231F20"/>
        </w:rPr>
        <w:t>Organigramm, Funktionsdiagramm und Stellenbeschreibung (SOP)</w:t>
      </w:r>
      <w:r>
        <w:rPr>
          <w:color w:val="231F20"/>
        </w:rPr>
        <w:br/>
        <w:t>Vorlage Organigramm (AL)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Vorlage Funktionsdiagramm (AL)</w:t>
      </w:r>
      <w:r>
        <w:rPr>
          <w:color w:val="231F20"/>
        </w:rPr>
        <w:br/>
        <w:t>Vorlage Stellenbeschreibung (AL)</w:t>
      </w:r>
      <w:r>
        <w:rPr>
          <w:color w:val="231F20"/>
        </w:rPr>
        <w:br/>
        <w:t>Beispiel Stellenbeschreibung (AL)</w:t>
      </w:r>
    </w:p>
    <w:p w:rsidR="00C87737" w:rsidRDefault="00C87737" w:rsidP="00DD0183">
      <w:pPr>
        <w:pStyle w:val="BodyText"/>
        <w:spacing w:before="3" w:line="292" w:lineRule="auto"/>
        <w:ind w:right="70"/>
      </w:pPr>
      <w:r>
        <w:rPr>
          <w:color w:val="231F20"/>
        </w:rPr>
        <w:t>Einführung von neuen Mitarbeitenden (SOP)</w:t>
      </w:r>
      <w:r>
        <w:rPr>
          <w:color w:val="231F20"/>
        </w:rPr>
        <w:br/>
        <w:t>Checkliste Einführung von neuen Mitarbeitenden (AL)</w:t>
      </w:r>
      <w:r>
        <w:rPr>
          <w:color w:val="231F20"/>
        </w:rPr>
        <w:br/>
        <w:t>Fort- und Weiterbildung (SOP)</w:t>
      </w:r>
    </w:p>
    <w:p w:rsidR="00C87737" w:rsidRDefault="00C87737" w:rsidP="00DD0183">
      <w:pPr>
        <w:pStyle w:val="BodyText"/>
        <w:spacing w:before="4"/>
        <w:ind w:right="70"/>
      </w:pPr>
      <w:r>
        <w:rPr>
          <w:color w:val="231F20"/>
        </w:rPr>
        <w:t>Besuchte Fort- und Weiterbildungen (AP)</w:t>
      </w:r>
    </w:p>
    <w:p w:rsidR="00C87737" w:rsidRDefault="00C87737" w:rsidP="00DD0183">
      <w:pPr>
        <w:pStyle w:val="BodyText"/>
        <w:spacing w:before="51" w:line="292" w:lineRule="auto"/>
        <w:ind w:right="70"/>
      </w:pPr>
      <w:r>
        <w:rPr>
          <w:color w:val="231F20"/>
        </w:rPr>
        <w:t>Kenntnisnahme der Qualitätsmanagement-Dokumente (AP)</w:t>
      </w:r>
      <w:r>
        <w:rPr>
          <w:color w:val="231F20"/>
        </w:rPr>
        <w:br/>
        <w:t>Unterschriftenliste (AL)</w:t>
      </w:r>
    </w:p>
    <w:p w:rsidR="00C87737" w:rsidRDefault="00C87737" w:rsidP="00DD0183">
      <w:pPr>
        <w:pStyle w:val="BodyText"/>
        <w:ind w:right="70"/>
      </w:pPr>
      <w:r>
        <w:rPr>
          <w:color w:val="231F20"/>
        </w:rPr>
        <w:t>Versionenkontrolle Kapitel 2 (AP)</w:t>
      </w:r>
    </w:p>
    <w:p w:rsidR="00C87737" w:rsidRDefault="00C87737" w:rsidP="00DD0183">
      <w:pPr>
        <w:pStyle w:val="BodyText"/>
        <w:spacing w:before="5"/>
        <w:ind w:left="0" w:right="70"/>
        <w:rPr>
          <w:sz w:val="22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Bestellung, Wareneingang,</w:t>
      </w:r>
      <w:r>
        <w:rPr>
          <w:color w:val="1A537E"/>
          <w:spacing w:val="-1"/>
        </w:rPr>
        <w:t xml:space="preserve"> </w:t>
      </w:r>
      <w:r>
        <w:rPr>
          <w:color w:val="1A537E"/>
        </w:rPr>
        <w:t>Retouren</w:t>
      </w:r>
    </w:p>
    <w:p w:rsidR="00C87737" w:rsidRDefault="00C87737" w:rsidP="00DD0183">
      <w:pPr>
        <w:pStyle w:val="BodyText"/>
        <w:spacing w:before="280" w:line="293" w:lineRule="auto"/>
        <w:ind w:left="799" w:right="70"/>
      </w:pPr>
      <w:r>
        <w:rPr>
          <w:color w:val="231F20"/>
        </w:rPr>
        <w:t>Bestellung, Eingangskontrolle, Einlagerung und Rechnungskontrolle (SOP) Retouren (SOP)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Einfuhr nicht zugelassener verwendungsfertiger Arzneimittel (AP) Versionenkontrolle Kapitel 3 (AP)</w:t>
      </w:r>
    </w:p>
    <w:p w:rsidR="00C87737" w:rsidRPr="00DD0183" w:rsidRDefault="00C87737" w:rsidP="00DD0183">
      <w:pPr>
        <w:pStyle w:val="BodyText"/>
        <w:spacing w:before="3"/>
        <w:ind w:right="70"/>
        <w:rPr>
          <w:color w:val="1A537E"/>
          <w:sz w:val="18"/>
          <w:szCs w:val="18"/>
        </w:rPr>
      </w:pPr>
      <w:r w:rsidRPr="00DD0183">
        <w:rPr>
          <w:color w:val="1A537E"/>
          <w:sz w:val="18"/>
          <w:szCs w:val="18"/>
        </w:rPr>
        <w:t>Galexis Beispiel Lieferschein</w:t>
      </w:r>
    </w:p>
    <w:p w:rsidR="00C87737" w:rsidRPr="00DD0183" w:rsidRDefault="00C87737" w:rsidP="00DD0183">
      <w:pPr>
        <w:pStyle w:val="BodyText"/>
        <w:spacing w:before="51" w:line="292" w:lineRule="auto"/>
        <w:ind w:right="70"/>
        <w:rPr>
          <w:color w:val="1A537E"/>
          <w:sz w:val="18"/>
          <w:szCs w:val="18"/>
        </w:rPr>
      </w:pPr>
      <w:r w:rsidRPr="00DD0183">
        <w:rPr>
          <w:color w:val="1A537E"/>
          <w:sz w:val="18"/>
          <w:szCs w:val="18"/>
        </w:rPr>
        <w:t>Galexis Beispiel Lieferschein für Retouren an Galexis</w:t>
      </w:r>
    </w:p>
    <w:p w:rsidR="00C87737" w:rsidRPr="00DD0183" w:rsidRDefault="00C87737" w:rsidP="00DD0183">
      <w:pPr>
        <w:pStyle w:val="BodyText"/>
        <w:spacing w:before="51" w:line="292" w:lineRule="auto"/>
        <w:ind w:right="70"/>
        <w:rPr>
          <w:color w:val="1A537E"/>
          <w:sz w:val="18"/>
          <w:szCs w:val="18"/>
        </w:rPr>
      </w:pPr>
      <w:r w:rsidRPr="00DD0183">
        <w:rPr>
          <w:color w:val="1A537E"/>
          <w:sz w:val="18"/>
          <w:szCs w:val="18"/>
        </w:rPr>
        <w:t>Galexis Beispiel Formular «Rückkäufe nach 10</w:t>
      </w:r>
      <w:r w:rsidRPr="00DD0183">
        <w:rPr>
          <w:color w:val="1A537E"/>
          <w:spacing w:val="-29"/>
          <w:sz w:val="18"/>
          <w:szCs w:val="18"/>
        </w:rPr>
        <w:t xml:space="preserve"> </w:t>
      </w:r>
      <w:r w:rsidRPr="00DD0183">
        <w:rPr>
          <w:color w:val="1A537E"/>
          <w:sz w:val="18"/>
          <w:szCs w:val="18"/>
        </w:rPr>
        <w:t>Arbeitstagen»</w:t>
      </w:r>
    </w:p>
    <w:p w:rsidR="00C87737" w:rsidRPr="00DD0183" w:rsidRDefault="00C87737" w:rsidP="00DD0183">
      <w:pPr>
        <w:pStyle w:val="BodyText"/>
        <w:spacing w:line="292" w:lineRule="auto"/>
        <w:ind w:right="70"/>
        <w:rPr>
          <w:color w:val="1A537E"/>
          <w:sz w:val="18"/>
          <w:szCs w:val="18"/>
        </w:rPr>
      </w:pPr>
      <w:r w:rsidRPr="00DD0183">
        <w:rPr>
          <w:color w:val="1A537E"/>
          <w:sz w:val="18"/>
          <w:szCs w:val="18"/>
        </w:rPr>
        <w:t>Galexis Merkblatt für Beanstandungen, Retouren und Rückkäufen</w:t>
      </w:r>
    </w:p>
    <w:p w:rsidR="00C87737" w:rsidRPr="00DD0183" w:rsidRDefault="00C87737" w:rsidP="00DD0183">
      <w:pPr>
        <w:pStyle w:val="BodyText"/>
        <w:spacing w:line="292" w:lineRule="auto"/>
        <w:ind w:right="70"/>
        <w:rPr>
          <w:color w:val="1A537E"/>
          <w:sz w:val="18"/>
          <w:szCs w:val="18"/>
        </w:rPr>
      </w:pPr>
      <w:r w:rsidRPr="00DD0183">
        <w:rPr>
          <w:color w:val="1A537E"/>
          <w:sz w:val="18"/>
          <w:szCs w:val="18"/>
        </w:rPr>
        <w:t>Galexis «Belege im Überblick»</w:t>
      </w:r>
    </w:p>
    <w:p w:rsidR="00C87737" w:rsidRPr="00DD0183" w:rsidRDefault="00C87737" w:rsidP="00DD0183">
      <w:pPr>
        <w:pStyle w:val="BodyText"/>
        <w:spacing w:before="3"/>
        <w:ind w:right="70"/>
        <w:rPr>
          <w:color w:val="1A537E"/>
          <w:sz w:val="18"/>
          <w:szCs w:val="18"/>
        </w:rPr>
      </w:pPr>
      <w:r w:rsidRPr="00DD0183">
        <w:rPr>
          <w:color w:val="1A537E"/>
          <w:sz w:val="18"/>
          <w:szCs w:val="18"/>
        </w:rPr>
        <w:t>Galexis Allgemeine Geschäftsbedingungen (AGB)</w:t>
      </w:r>
    </w:p>
    <w:p w:rsidR="00C87737" w:rsidRPr="00DD0183" w:rsidRDefault="00C87737" w:rsidP="00DD0183">
      <w:pPr>
        <w:ind w:right="70"/>
        <w:rPr>
          <w:sz w:val="18"/>
          <w:szCs w:val="18"/>
        </w:rPr>
        <w:sectPr w:rsidR="00C87737" w:rsidRPr="00DD0183">
          <w:headerReference w:type="default" r:id="rId7"/>
          <w:type w:val="continuous"/>
          <w:pgSz w:w="11910" w:h="16840"/>
          <w:pgMar w:top="1660" w:right="1680" w:bottom="280" w:left="1580" w:header="811" w:footer="720" w:gutter="0"/>
          <w:cols w:space="720"/>
        </w:sect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  <w:spacing w:before="100"/>
      </w:pPr>
      <w:r>
        <w:rPr>
          <w:color w:val="1A537E"/>
        </w:rPr>
        <w:t>Betäubungsmittel</w:t>
      </w:r>
    </w:p>
    <w:p w:rsidR="00C87737" w:rsidRDefault="00C87737" w:rsidP="00DD0183">
      <w:pPr>
        <w:pStyle w:val="BodyText"/>
        <w:spacing w:before="243" w:line="292" w:lineRule="auto"/>
        <w:ind w:right="70"/>
        <w:rPr>
          <w:color w:val="231F20"/>
        </w:rPr>
      </w:pPr>
      <w:r>
        <w:rPr>
          <w:color w:val="231F20"/>
        </w:rPr>
        <w:t>Umgang mit kontrollierten Substanzen (Betäubungsmittel) (SOP)</w:t>
      </w:r>
      <w:r>
        <w:rPr>
          <w:color w:val="231F20"/>
        </w:rPr>
        <w:br/>
        <w:t>Lagerkontrolle Betäubungsmittel a (AP)</w:t>
      </w:r>
    </w:p>
    <w:p w:rsidR="00C87737" w:rsidRDefault="00C87737" w:rsidP="00DD0183">
      <w:pPr>
        <w:pStyle w:val="BodyText"/>
        <w:spacing w:before="0" w:line="293" w:lineRule="auto"/>
        <w:ind w:left="799" w:right="70"/>
      </w:pPr>
      <w:r>
        <w:rPr>
          <w:color w:val="231F20"/>
        </w:rPr>
        <w:t>Lagerkontrolle Betäubungsmittel b (AP)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Entsorgung von Betäubungsmitteln des Verzeichnisses b (AP)</w:t>
      </w:r>
      <w:r>
        <w:rPr>
          <w:color w:val="231F20"/>
        </w:rPr>
        <w:br/>
        <w:t>Versionenkontrolle Kapitel 4 (AP)</w:t>
      </w:r>
    </w:p>
    <w:p w:rsidR="00C87737" w:rsidRPr="00D6672D" w:rsidRDefault="00C87737" w:rsidP="00DD0183">
      <w:pPr>
        <w:pStyle w:val="BodyText"/>
        <w:spacing w:line="292" w:lineRule="auto"/>
        <w:ind w:right="70"/>
        <w:rPr>
          <w:color w:val="1A537E"/>
        </w:rPr>
      </w:pPr>
      <w:r>
        <w:rPr>
          <w:color w:val="231F20"/>
        </w:rPr>
        <w:t>Vorlage Lieferschein Betäubungsmittel-Retoure (AL)</w:t>
      </w:r>
      <w:r>
        <w:rPr>
          <w:color w:val="231F20"/>
        </w:rPr>
        <w:br/>
      </w:r>
      <w:r w:rsidRPr="00D6672D">
        <w:rPr>
          <w:color w:val="1A537E"/>
        </w:rPr>
        <w:t>Galexis Beispiel Betäubungsmittel-Lieferschein</w:t>
      </w:r>
    </w:p>
    <w:p w:rsidR="00C87737" w:rsidRPr="00D6672D" w:rsidRDefault="00C87737" w:rsidP="00DD0183">
      <w:pPr>
        <w:pStyle w:val="BodyText"/>
        <w:spacing w:before="3" w:line="292" w:lineRule="auto"/>
        <w:ind w:right="70"/>
        <w:rPr>
          <w:color w:val="1A537E"/>
        </w:rPr>
      </w:pPr>
      <w:r w:rsidRPr="00D6672D">
        <w:rPr>
          <w:color w:val="1A537E"/>
        </w:rPr>
        <w:t>Galexis Vorlage Rücknahmesche</w:t>
      </w:r>
      <w:r>
        <w:rPr>
          <w:color w:val="1A537E"/>
        </w:rPr>
        <w:t>in für Betäubungsmittel a, b, d</w:t>
      </w:r>
      <w:r>
        <w:rPr>
          <w:color w:val="1A537E"/>
        </w:rPr>
        <w:br/>
      </w:r>
      <w:r w:rsidRPr="00D6672D">
        <w:rPr>
          <w:color w:val="1A537E"/>
        </w:rPr>
        <w:t>Galexis Beispiel Rücknahmeschein für Betäubungsmittel a, b, d</w:t>
      </w:r>
    </w:p>
    <w:p w:rsidR="00C87737" w:rsidRPr="00D6672D" w:rsidRDefault="00C87737" w:rsidP="00DD0183">
      <w:pPr>
        <w:pStyle w:val="BodyText"/>
        <w:ind w:right="70"/>
        <w:rPr>
          <w:color w:val="1A537E"/>
        </w:rPr>
      </w:pPr>
      <w:r w:rsidRPr="00D6672D">
        <w:rPr>
          <w:color w:val="1A537E"/>
        </w:rPr>
        <w:t>Galexis Merkblatt «Retouren von Betäubungsmitteln der Verzeichnisse a, b, d»</w:t>
      </w:r>
    </w:p>
    <w:p w:rsidR="00C87737" w:rsidRDefault="00C87737" w:rsidP="00DD0183">
      <w:pPr>
        <w:pStyle w:val="BodyText"/>
        <w:spacing w:before="5"/>
        <w:ind w:left="0" w:right="70"/>
        <w:rPr>
          <w:sz w:val="22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Lagerüberwachung</w:t>
      </w:r>
    </w:p>
    <w:p w:rsidR="00C87737" w:rsidRDefault="00C87737" w:rsidP="00DD0183">
      <w:pPr>
        <w:pStyle w:val="BodyText"/>
        <w:spacing w:before="243" w:line="292" w:lineRule="auto"/>
        <w:ind w:right="70"/>
      </w:pPr>
      <w:r>
        <w:rPr>
          <w:color w:val="231F20"/>
        </w:rPr>
        <w:t>Lagerung von Heilmittel (SOP)</w:t>
      </w:r>
      <w:r>
        <w:rPr>
          <w:color w:val="231F20"/>
        </w:rPr>
        <w:br/>
        <w:t>Temperaturüberwachung (SOP)</w:t>
      </w:r>
      <w:r>
        <w:rPr>
          <w:color w:val="231F20"/>
        </w:rPr>
        <w:br/>
        <w:t>Temperaturüberwachung (AP)</w:t>
      </w:r>
      <w:r>
        <w:rPr>
          <w:color w:val="231F20"/>
        </w:rPr>
        <w:br/>
        <w:t>Verfalldatenkontrolle (SOP)</w:t>
      </w:r>
      <w:r>
        <w:rPr>
          <w:color w:val="231F20"/>
        </w:rPr>
        <w:br/>
        <w:t>Verfalldatenkontrolle (AP)</w:t>
      </w:r>
      <w:r>
        <w:rPr>
          <w:color w:val="231F20"/>
        </w:rPr>
        <w:br/>
        <w:t>Chargenrückrufe (SOP)</w:t>
      </w:r>
      <w:r>
        <w:rPr>
          <w:color w:val="231F20"/>
        </w:rPr>
        <w:br/>
        <w:t>Chargenrückrufe (AP)</w:t>
      </w:r>
      <w:r>
        <w:rPr>
          <w:color w:val="231F20"/>
        </w:rPr>
        <w:br/>
        <w:t>Schliesskonzept (SOP)</w:t>
      </w:r>
    </w:p>
    <w:p w:rsidR="00C87737" w:rsidRDefault="00C87737" w:rsidP="00DD0183">
      <w:pPr>
        <w:pStyle w:val="BodyText"/>
        <w:spacing w:before="9" w:line="292" w:lineRule="auto"/>
        <w:ind w:right="70"/>
      </w:pPr>
      <w:r>
        <w:rPr>
          <w:color w:val="231F20"/>
        </w:rPr>
        <w:t>Schliesskonzept und Zutrittsberechtigungen (AP)</w:t>
      </w:r>
      <w:r>
        <w:rPr>
          <w:color w:val="231F20"/>
        </w:rPr>
        <w:br/>
        <w:t>Versionenkontrolle Kapitel 5 (AP)</w:t>
      </w:r>
    </w:p>
    <w:p w:rsidR="00C87737" w:rsidRDefault="00C87737" w:rsidP="00DD0183">
      <w:pPr>
        <w:pStyle w:val="BodyText"/>
        <w:spacing w:before="1"/>
        <w:ind w:left="0" w:right="70"/>
        <w:rPr>
          <w:sz w:val="18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Arzneimittelabgabe</w:t>
      </w:r>
    </w:p>
    <w:p w:rsidR="00C87737" w:rsidRDefault="00C87737" w:rsidP="00DD0183">
      <w:pPr>
        <w:pStyle w:val="BodyText"/>
        <w:spacing w:before="240" w:line="293" w:lineRule="auto"/>
        <w:ind w:left="799" w:right="70"/>
      </w:pPr>
      <w:r>
        <w:rPr>
          <w:color w:val="231F20"/>
        </w:rPr>
        <w:t>Arzneimittelabgabe (SOP)</w:t>
      </w:r>
      <w:r>
        <w:rPr>
          <w:color w:val="231F20"/>
        </w:rPr>
        <w:br/>
        <w:t>Versionenkontrolle Kapitel 6 (AP)</w:t>
      </w:r>
    </w:p>
    <w:p w:rsidR="00C87737" w:rsidRDefault="00C87737">
      <w:pPr>
        <w:pStyle w:val="BodyText"/>
        <w:ind w:left="0"/>
        <w:rPr>
          <w:sz w:val="18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Entsorgung</w:t>
      </w:r>
    </w:p>
    <w:p w:rsidR="00C87737" w:rsidRDefault="00C87737" w:rsidP="00DD0183">
      <w:pPr>
        <w:pStyle w:val="BodyText"/>
        <w:spacing w:before="243" w:line="292" w:lineRule="auto"/>
        <w:ind w:right="70"/>
      </w:pPr>
      <w:r>
        <w:rPr>
          <w:color w:val="231F20"/>
        </w:rPr>
        <w:t>Entsorgung von medizinischen Abfällen (SOP)</w:t>
      </w:r>
      <w:r>
        <w:rPr>
          <w:color w:val="231F20"/>
        </w:rPr>
        <w:br/>
        <w:t>Entsorgung (AP)</w:t>
      </w:r>
    </w:p>
    <w:p w:rsidR="00C87737" w:rsidRDefault="00C87737" w:rsidP="00DD0183">
      <w:pPr>
        <w:pStyle w:val="BodyText"/>
        <w:ind w:right="70"/>
      </w:pPr>
      <w:r>
        <w:rPr>
          <w:color w:val="231F20"/>
        </w:rPr>
        <w:t>Versionenkontrolle Kapitel 7 (AP)</w:t>
      </w:r>
    </w:p>
    <w:p w:rsidR="00C87737" w:rsidRPr="00D6672D" w:rsidRDefault="00C87737" w:rsidP="00DD0183">
      <w:pPr>
        <w:pStyle w:val="BodyText"/>
        <w:spacing w:before="52"/>
        <w:ind w:right="70"/>
        <w:rPr>
          <w:color w:val="1A537E"/>
        </w:rPr>
      </w:pPr>
      <w:r w:rsidRPr="00D6672D">
        <w:rPr>
          <w:color w:val="1A537E"/>
        </w:rPr>
        <w:t>Galexis Merkblatt für die Entsorgung von Kundenabfällen</w:t>
      </w:r>
    </w:p>
    <w:p w:rsidR="00C87737" w:rsidRDefault="00C87737" w:rsidP="00DD0183">
      <w:pPr>
        <w:pStyle w:val="BodyText"/>
        <w:spacing w:before="0"/>
        <w:ind w:left="0" w:right="70"/>
        <w:rPr>
          <w:sz w:val="22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Qualitätsmängel und unerwünschte</w:t>
      </w:r>
      <w:r>
        <w:rPr>
          <w:color w:val="1A537E"/>
          <w:spacing w:val="-2"/>
        </w:rPr>
        <w:t xml:space="preserve"> </w:t>
      </w:r>
      <w:r>
        <w:rPr>
          <w:color w:val="1A537E"/>
        </w:rPr>
        <w:t>Arzneimittelwirkungen</w:t>
      </w:r>
    </w:p>
    <w:p w:rsidR="00C87737" w:rsidRPr="00DD0183" w:rsidRDefault="00C87737" w:rsidP="00DD0183">
      <w:pPr>
        <w:pStyle w:val="BodyText"/>
        <w:spacing w:before="280" w:line="293" w:lineRule="auto"/>
        <w:ind w:left="799" w:right="70"/>
        <w:rPr>
          <w:color w:val="231F20"/>
        </w:rPr>
      </w:pPr>
      <w:r>
        <w:rPr>
          <w:color w:val="231F20"/>
        </w:rPr>
        <w:t>Qualitätsmängel und unerwünschte Arzneimittelwirkungen (SOP)</w:t>
      </w:r>
      <w:r>
        <w:rPr>
          <w:color w:val="231F20"/>
        </w:rPr>
        <w:br/>
        <w:t>Meldung von Qualitätsmängeln bei Heilmitteln (AP)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Meldung von unerwünschten Arzneimittelwirkungen (AP)</w:t>
      </w:r>
      <w:r>
        <w:rPr>
          <w:color w:val="231F20"/>
        </w:rPr>
        <w:br/>
        <w:t>Versionenkontrolle Kapitel 8 (AP)</w:t>
      </w:r>
    </w:p>
    <w:p w:rsidR="00C87737" w:rsidRDefault="00C87737">
      <w:pPr>
        <w:pStyle w:val="BodyText"/>
        <w:spacing w:before="1"/>
        <w:ind w:left="0"/>
        <w:rPr>
          <w:sz w:val="13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  <w:spacing w:before="100"/>
      </w:pPr>
      <w:r>
        <w:rPr>
          <w:color w:val="1A537E"/>
        </w:rPr>
        <w:t>Beanstandungen und</w:t>
      </w:r>
      <w:r>
        <w:rPr>
          <w:color w:val="1A537E"/>
          <w:spacing w:val="-1"/>
        </w:rPr>
        <w:t xml:space="preserve"> </w:t>
      </w:r>
      <w:r>
        <w:rPr>
          <w:color w:val="1A537E"/>
        </w:rPr>
        <w:t>Fehlermanagement</w:t>
      </w:r>
    </w:p>
    <w:p w:rsidR="00C87737" w:rsidRPr="00DD0183" w:rsidRDefault="00C87737" w:rsidP="00DD0183">
      <w:pPr>
        <w:pStyle w:val="BodyText"/>
        <w:spacing w:before="243" w:line="292" w:lineRule="auto"/>
        <w:ind w:right="70"/>
        <w:rPr>
          <w:color w:val="231F20"/>
        </w:rPr>
      </w:pPr>
      <w:r>
        <w:rPr>
          <w:color w:val="231F20"/>
        </w:rPr>
        <w:t>Beanstandungen und Fehlermanagement (SOP)</w:t>
      </w:r>
      <w:r>
        <w:rPr>
          <w:color w:val="231F20"/>
        </w:rPr>
        <w:br/>
        <w:t>Beanstandungen (AP)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Fehlermanagement (AP)</w:t>
      </w:r>
      <w:r>
        <w:rPr>
          <w:color w:val="231F20"/>
        </w:rPr>
        <w:br/>
        <w:t>Versionenkontrolle Kapitel 9 (AP)</w:t>
      </w:r>
    </w:p>
    <w:p w:rsidR="00C87737" w:rsidRDefault="00C87737" w:rsidP="00DD0183">
      <w:pPr>
        <w:pStyle w:val="BodyText"/>
        <w:spacing w:before="0"/>
        <w:ind w:left="0" w:right="70"/>
        <w:rPr>
          <w:sz w:val="22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Hygiene und Reinhaltung der</w:t>
      </w:r>
      <w:r>
        <w:rPr>
          <w:color w:val="1A537E"/>
          <w:spacing w:val="-2"/>
        </w:rPr>
        <w:t xml:space="preserve"> </w:t>
      </w:r>
      <w:r>
        <w:rPr>
          <w:color w:val="1A537E"/>
        </w:rPr>
        <w:t>Räumlichkeiten</w:t>
      </w:r>
    </w:p>
    <w:p w:rsidR="00C87737" w:rsidRDefault="00C87737" w:rsidP="00DD0183">
      <w:pPr>
        <w:pStyle w:val="BodyText"/>
        <w:spacing w:before="243" w:line="292" w:lineRule="auto"/>
        <w:ind w:right="70"/>
      </w:pPr>
      <w:r>
        <w:rPr>
          <w:color w:val="231F20"/>
        </w:rPr>
        <w:t>Hygiene und Reinhaltung der Räumlichkeiten (SOP)</w:t>
      </w:r>
      <w:r>
        <w:rPr>
          <w:color w:val="231F20"/>
        </w:rPr>
        <w:br/>
        <w:t>Toilettenreinigung (AP)</w:t>
      </w:r>
    </w:p>
    <w:p w:rsidR="00C87737" w:rsidRDefault="00C87737" w:rsidP="00DD0183">
      <w:pPr>
        <w:pStyle w:val="BodyText"/>
        <w:spacing w:line="292" w:lineRule="auto"/>
        <w:ind w:right="70"/>
        <w:rPr>
          <w:color w:val="231F20"/>
        </w:rPr>
      </w:pPr>
      <w:r>
        <w:rPr>
          <w:color w:val="231F20"/>
        </w:rPr>
        <w:t>Reinhaltung der Räumlichkeiten (AP)</w:t>
      </w:r>
      <w:r>
        <w:rPr>
          <w:color w:val="231F20"/>
        </w:rPr>
        <w:br/>
        <w:t>Schädlingsbekämpfung (AP)</w:t>
      </w:r>
      <w:r>
        <w:rPr>
          <w:color w:val="231F20"/>
        </w:rPr>
        <w:br/>
        <w:t>Reinigungs- und Desinfektionsplan (AL)</w:t>
      </w:r>
    </w:p>
    <w:p w:rsidR="00C87737" w:rsidRDefault="00C87737" w:rsidP="00DD0183">
      <w:pPr>
        <w:pStyle w:val="BodyText"/>
        <w:spacing w:line="292" w:lineRule="auto"/>
        <w:ind w:right="70"/>
      </w:pPr>
      <w:r>
        <w:rPr>
          <w:color w:val="231F20"/>
        </w:rPr>
        <w:t>Versionenkontrolle Kapitel 10 (AP)</w:t>
      </w:r>
    </w:p>
    <w:p w:rsidR="00C87737" w:rsidRDefault="00C87737" w:rsidP="00DD0183">
      <w:pPr>
        <w:pStyle w:val="BodyText"/>
        <w:spacing w:before="4"/>
        <w:ind w:left="0" w:right="70"/>
        <w:rPr>
          <w:sz w:val="18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Aufbereitung von</w:t>
      </w:r>
      <w:r>
        <w:rPr>
          <w:color w:val="1A537E"/>
          <w:spacing w:val="-1"/>
        </w:rPr>
        <w:t xml:space="preserve"> </w:t>
      </w:r>
      <w:r>
        <w:rPr>
          <w:color w:val="1A537E"/>
        </w:rPr>
        <w:t>Medizinprodukten</w:t>
      </w:r>
    </w:p>
    <w:p w:rsidR="00C87737" w:rsidRDefault="00C87737" w:rsidP="00DD0183">
      <w:pPr>
        <w:pStyle w:val="BodyText"/>
        <w:spacing w:before="240" w:line="293" w:lineRule="auto"/>
        <w:ind w:left="799" w:right="180"/>
      </w:pPr>
      <w:r>
        <w:rPr>
          <w:color w:val="231F20"/>
        </w:rPr>
        <w:t>Aufbereitung von Medizinprodukten (SOP)</w:t>
      </w:r>
      <w:r>
        <w:rPr>
          <w:color w:val="231F20"/>
        </w:rPr>
        <w:br/>
        <w:t>Aufbereitung von Medizinprodukten (AP)</w:t>
      </w:r>
      <w:r>
        <w:rPr>
          <w:color w:val="231F20"/>
        </w:rPr>
        <w:br/>
        <w:t>Versionenkontrolle Kapitel 11 (AP)</w:t>
      </w:r>
    </w:p>
    <w:p w:rsidR="00C87737" w:rsidRDefault="00C87737">
      <w:pPr>
        <w:pStyle w:val="BodyText"/>
        <w:spacing w:before="0"/>
        <w:ind w:left="0"/>
        <w:rPr>
          <w:sz w:val="22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  <w:spacing w:before="1"/>
      </w:pPr>
      <w:r>
        <w:rPr>
          <w:color w:val="1A537E"/>
        </w:rPr>
        <w:t>Wartung und Kalibrierung von</w:t>
      </w:r>
      <w:r>
        <w:rPr>
          <w:color w:val="1A537E"/>
          <w:spacing w:val="-2"/>
        </w:rPr>
        <w:t xml:space="preserve"> </w:t>
      </w:r>
      <w:r>
        <w:rPr>
          <w:color w:val="1A537E"/>
        </w:rPr>
        <w:t>Geräten</w:t>
      </w:r>
    </w:p>
    <w:p w:rsidR="00C87737" w:rsidRDefault="00C87737" w:rsidP="00DD0183">
      <w:pPr>
        <w:pStyle w:val="BodyText"/>
        <w:spacing w:before="243" w:line="292" w:lineRule="auto"/>
        <w:ind w:right="70"/>
      </w:pPr>
      <w:r>
        <w:rPr>
          <w:color w:val="231F20"/>
        </w:rPr>
        <w:t>Wartung und Kalibrierung von Geräten (SOP)</w:t>
      </w:r>
      <w:r>
        <w:rPr>
          <w:color w:val="231F20"/>
        </w:rPr>
        <w:br/>
        <w:t>Wartung von Geräten (AP)</w:t>
      </w:r>
    </w:p>
    <w:p w:rsidR="00C87737" w:rsidRDefault="00C87737" w:rsidP="00DD0183">
      <w:pPr>
        <w:pStyle w:val="BodyText"/>
        <w:spacing w:line="292" w:lineRule="auto"/>
        <w:ind w:right="70"/>
        <w:rPr>
          <w:color w:val="231F20"/>
        </w:rPr>
      </w:pPr>
      <w:r>
        <w:rPr>
          <w:color w:val="231F20"/>
        </w:rPr>
        <w:t>Kalibrierung von Geräten (AP)</w:t>
      </w:r>
      <w:r>
        <w:rPr>
          <w:color w:val="231F20"/>
        </w:rPr>
        <w:br/>
        <w:t>Versionenkontrolle Kapitel 12 (AP)</w:t>
      </w:r>
      <w:bookmarkStart w:id="0" w:name="_GoBack"/>
      <w:bookmarkEnd w:id="0"/>
    </w:p>
    <w:p w:rsidR="00C87737" w:rsidRPr="00360FDD" w:rsidRDefault="00C87737" w:rsidP="00DD0183">
      <w:pPr>
        <w:pStyle w:val="BodyText"/>
        <w:spacing w:line="292" w:lineRule="auto"/>
        <w:ind w:right="70"/>
        <w:rPr>
          <w:color w:val="1A537E"/>
        </w:rPr>
      </w:pPr>
      <w:r>
        <w:rPr>
          <w:color w:val="1A537E"/>
        </w:rPr>
        <w:t xml:space="preserve">Galexis Auftragsformular Reparatur und Kalibrierung </w:t>
      </w:r>
    </w:p>
    <w:p w:rsidR="00C87737" w:rsidRDefault="00C87737" w:rsidP="00DD0183">
      <w:pPr>
        <w:pStyle w:val="BodyText"/>
        <w:spacing w:before="0"/>
        <w:ind w:left="0" w:right="70"/>
        <w:rPr>
          <w:sz w:val="22"/>
        </w:rPr>
      </w:pPr>
    </w:p>
    <w:p w:rsidR="00C87737" w:rsidRDefault="00C87737">
      <w:pPr>
        <w:pStyle w:val="BodyText"/>
        <w:spacing w:before="1"/>
        <w:ind w:left="0"/>
        <w:rPr>
          <w:sz w:val="18"/>
        </w:rPr>
      </w:pPr>
    </w:p>
    <w:p w:rsidR="00C87737" w:rsidRDefault="00C87737">
      <w:pPr>
        <w:pStyle w:val="Heading1"/>
        <w:numPr>
          <w:ilvl w:val="0"/>
          <w:numId w:val="1"/>
        </w:numPr>
        <w:tabs>
          <w:tab w:val="left" w:pos="802"/>
        </w:tabs>
      </w:pPr>
      <w:r>
        <w:rPr>
          <w:color w:val="1A537E"/>
        </w:rPr>
        <w:t>Inspektion</w:t>
      </w:r>
    </w:p>
    <w:p w:rsidR="00C87737" w:rsidRDefault="00C87737" w:rsidP="00DD0183">
      <w:pPr>
        <w:pStyle w:val="BodyText"/>
        <w:spacing w:before="200" w:line="293" w:lineRule="auto"/>
        <w:ind w:left="799" w:right="70"/>
      </w:pPr>
      <w:r>
        <w:rPr>
          <w:color w:val="231F20"/>
        </w:rPr>
        <w:t>Selbstinspektion (SOP)</w:t>
      </w:r>
      <w:r>
        <w:rPr>
          <w:color w:val="231F20"/>
        </w:rPr>
        <w:br/>
        <w:t>Checkliste Selbstinspektion (AL)</w:t>
      </w:r>
      <w:r>
        <w:rPr>
          <w:color w:val="231F20"/>
        </w:rPr>
        <w:br/>
        <w:t>Selbstinspektion (AP)</w:t>
      </w:r>
    </w:p>
    <w:p w:rsidR="00C87737" w:rsidRDefault="00C87737" w:rsidP="00DD0183">
      <w:pPr>
        <w:pStyle w:val="BodyText"/>
        <w:spacing w:before="4"/>
        <w:ind w:right="70"/>
      </w:pPr>
      <w:r>
        <w:rPr>
          <w:color w:val="231F20"/>
        </w:rPr>
        <w:t>Versionenkontrolle Kapitel 13 (AP)</w:t>
      </w:r>
    </w:p>
    <w:sectPr w:rsidR="00C87737" w:rsidSect="00957F14">
      <w:headerReference w:type="default" r:id="rId8"/>
      <w:pgSz w:w="11910" w:h="16840"/>
      <w:pgMar w:top="1660" w:right="1680" w:bottom="280" w:left="1580" w:header="8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737" w:rsidRDefault="00C87737">
      <w:r>
        <w:separator/>
      </w:r>
    </w:p>
  </w:endnote>
  <w:endnote w:type="continuationSeparator" w:id="1">
    <w:p w:rsidR="00C87737" w:rsidRDefault="00C8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porate S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 S Light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737" w:rsidRDefault="00C87737">
      <w:r>
        <w:separator/>
      </w:r>
    </w:p>
  </w:footnote>
  <w:footnote w:type="continuationSeparator" w:id="1">
    <w:p w:rsidR="00C87737" w:rsidRDefault="00C8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37" w:rsidRDefault="00C87737">
    <w:pPr>
      <w:pStyle w:val="BodyText"/>
      <w:spacing w:before="0" w:line="14" w:lineRule="auto"/>
      <w:ind w:left="0"/>
    </w:pPr>
    <w:r>
      <w:rPr>
        <w:noProof/>
        <w:lang w:val="en-US" w:eastAsia="en-US"/>
      </w:rPr>
      <w:pict>
        <v:line id="Line 2" o:spid="_x0000_s2049" style="position:absolute;z-index:-251656192;visibility:visible;mso-position-horizontal-relative:page;mso-position-vertical-relative:page" from="85.05pt,46.55pt" to="552.75pt,46.55pt" strokecolor="#7ab1d9" strokeweight="8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37" w:rsidRDefault="00C87737">
    <w:pPr>
      <w:pStyle w:val="BodyText"/>
      <w:spacing w:before="0" w:line="14" w:lineRule="auto"/>
      <w:ind w:left="0"/>
    </w:pPr>
    <w:r>
      <w:rPr>
        <w:noProof/>
        <w:lang w:val="en-US" w:eastAsia="en-US"/>
      </w:rPr>
      <w:pict>
        <v:line id="Line 1" o:spid="_x0000_s2050" style="position:absolute;z-index:-251654144;visibility:visible;mso-position-horizontal-relative:page;mso-position-vertical-relative:page" from="85.05pt,46.55pt" to="552.75pt,46.55pt" strokecolor="#7ab1d9" strokeweight="8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30A"/>
    <w:multiLevelType w:val="hybridMultilevel"/>
    <w:tmpl w:val="78408ACC"/>
    <w:lvl w:ilvl="0" w:tplc="5058AF32">
      <w:start w:val="1"/>
      <w:numFmt w:val="decimal"/>
      <w:lvlText w:val="%1"/>
      <w:lvlJc w:val="left"/>
      <w:pPr>
        <w:ind w:left="801" w:hanging="681"/>
      </w:pPr>
      <w:rPr>
        <w:rFonts w:ascii="Corporate S" w:eastAsia="Times New Roman" w:hAnsi="Corporate S" w:cs="Corporate S" w:hint="default"/>
        <w:b/>
        <w:bCs/>
        <w:color w:val="5AA3D2"/>
        <w:spacing w:val="-6"/>
        <w:w w:val="100"/>
        <w:sz w:val="40"/>
        <w:szCs w:val="40"/>
      </w:rPr>
    </w:lvl>
    <w:lvl w:ilvl="1" w:tplc="C526D34A">
      <w:numFmt w:val="bullet"/>
      <w:lvlText w:val="•"/>
      <w:lvlJc w:val="left"/>
      <w:pPr>
        <w:ind w:left="1584" w:hanging="681"/>
      </w:pPr>
      <w:rPr>
        <w:rFonts w:hint="default"/>
      </w:rPr>
    </w:lvl>
    <w:lvl w:ilvl="2" w:tplc="700884FC">
      <w:numFmt w:val="bullet"/>
      <w:lvlText w:val="•"/>
      <w:lvlJc w:val="left"/>
      <w:pPr>
        <w:ind w:left="2369" w:hanging="681"/>
      </w:pPr>
      <w:rPr>
        <w:rFonts w:hint="default"/>
      </w:rPr>
    </w:lvl>
    <w:lvl w:ilvl="3" w:tplc="1A28F3C0">
      <w:numFmt w:val="bullet"/>
      <w:lvlText w:val="•"/>
      <w:lvlJc w:val="left"/>
      <w:pPr>
        <w:ind w:left="3153" w:hanging="681"/>
      </w:pPr>
      <w:rPr>
        <w:rFonts w:hint="default"/>
      </w:rPr>
    </w:lvl>
    <w:lvl w:ilvl="4" w:tplc="ACEC6088">
      <w:numFmt w:val="bullet"/>
      <w:lvlText w:val="•"/>
      <w:lvlJc w:val="left"/>
      <w:pPr>
        <w:ind w:left="3938" w:hanging="681"/>
      </w:pPr>
      <w:rPr>
        <w:rFonts w:hint="default"/>
      </w:rPr>
    </w:lvl>
    <w:lvl w:ilvl="5" w:tplc="D448750A">
      <w:numFmt w:val="bullet"/>
      <w:lvlText w:val="•"/>
      <w:lvlJc w:val="left"/>
      <w:pPr>
        <w:ind w:left="4722" w:hanging="681"/>
      </w:pPr>
      <w:rPr>
        <w:rFonts w:hint="default"/>
      </w:rPr>
    </w:lvl>
    <w:lvl w:ilvl="6" w:tplc="971CB488">
      <w:numFmt w:val="bullet"/>
      <w:lvlText w:val="•"/>
      <w:lvlJc w:val="left"/>
      <w:pPr>
        <w:ind w:left="5507" w:hanging="681"/>
      </w:pPr>
      <w:rPr>
        <w:rFonts w:hint="default"/>
      </w:rPr>
    </w:lvl>
    <w:lvl w:ilvl="7" w:tplc="6024BBFE">
      <w:numFmt w:val="bullet"/>
      <w:lvlText w:val="•"/>
      <w:lvlJc w:val="left"/>
      <w:pPr>
        <w:ind w:left="6291" w:hanging="681"/>
      </w:pPr>
      <w:rPr>
        <w:rFonts w:hint="default"/>
      </w:rPr>
    </w:lvl>
    <w:lvl w:ilvl="8" w:tplc="A73AEDCE">
      <w:numFmt w:val="bullet"/>
      <w:lvlText w:val="•"/>
      <w:lvlJc w:val="left"/>
      <w:pPr>
        <w:ind w:left="7076" w:hanging="6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542"/>
    <w:rsid w:val="00110977"/>
    <w:rsid w:val="00360FDD"/>
    <w:rsid w:val="0053090B"/>
    <w:rsid w:val="006D0C02"/>
    <w:rsid w:val="00955439"/>
    <w:rsid w:val="00957F14"/>
    <w:rsid w:val="00C87737"/>
    <w:rsid w:val="00CA7542"/>
    <w:rsid w:val="00D6672D"/>
    <w:rsid w:val="00DD0183"/>
    <w:rsid w:val="00E27E46"/>
    <w:rsid w:val="00F3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14"/>
    <w:pPr>
      <w:widowControl w:val="0"/>
      <w:autoSpaceDE w:val="0"/>
      <w:autoSpaceDN w:val="0"/>
    </w:pPr>
    <w:rPr>
      <w:rFonts w:ascii="Corporate S Light" w:hAnsi="Corporate S Light" w:cs="Corporate S Light"/>
      <w:lang w:val="de-DE" w:eastAsia="de-DE"/>
    </w:rPr>
  </w:style>
  <w:style w:type="paragraph" w:styleId="Heading1">
    <w:name w:val="heading 1"/>
    <w:basedOn w:val="Normal"/>
    <w:link w:val="Heading1Char"/>
    <w:uiPriority w:val="99"/>
    <w:qFormat/>
    <w:rsid w:val="00957F14"/>
    <w:pPr>
      <w:ind w:left="801" w:hanging="681"/>
      <w:outlineLvl w:val="0"/>
    </w:pPr>
    <w:rPr>
      <w:rFonts w:ascii="Corporate S" w:hAnsi="Corporate S" w:cs="Corporate S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483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de-DE"/>
    </w:rPr>
  </w:style>
  <w:style w:type="table" w:customStyle="1" w:styleId="TableNormal1">
    <w:name w:val="Table Normal1"/>
    <w:uiPriority w:val="99"/>
    <w:semiHidden/>
    <w:rsid w:val="00957F14"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57F14"/>
    <w:pPr>
      <w:spacing w:before="2"/>
      <w:ind w:left="80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483"/>
    <w:rPr>
      <w:rFonts w:ascii="Corporate S Light" w:hAnsi="Corporate S Light" w:cs="Corporate S Light"/>
      <w:lang w:val="de-DE" w:eastAsia="de-DE"/>
    </w:rPr>
  </w:style>
  <w:style w:type="paragraph" w:styleId="ListParagraph">
    <w:name w:val="List Paragraph"/>
    <w:basedOn w:val="Normal"/>
    <w:uiPriority w:val="99"/>
    <w:qFormat/>
    <w:rsid w:val="00957F14"/>
    <w:pPr>
      <w:ind w:left="801" w:hanging="681"/>
    </w:pPr>
    <w:rPr>
      <w:rFonts w:ascii="Corporate S" w:hAnsi="Corporate S" w:cs="Corporate S"/>
    </w:rPr>
  </w:style>
  <w:style w:type="paragraph" w:customStyle="1" w:styleId="TableParagraph">
    <w:name w:val="Table Paragraph"/>
    <w:basedOn w:val="Normal"/>
    <w:uiPriority w:val="99"/>
    <w:rsid w:val="00957F14"/>
  </w:style>
  <w:style w:type="paragraph" w:styleId="BalloonText">
    <w:name w:val="Balloon Text"/>
    <w:basedOn w:val="Normal"/>
    <w:link w:val="BalloonTextChar"/>
    <w:uiPriority w:val="99"/>
    <w:semiHidden/>
    <w:rsid w:val="006D0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C02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473</Words>
  <Characters>2983</Characters>
  <Application>Microsoft Office Outlook</Application>
  <DocSecurity>0</DocSecurity>
  <Lines>0</Lines>
  <Paragraphs>0</Paragraphs>
  <ScaleCrop>false</ScaleCrop>
  <Company>Galenica Sante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Amrein Cornelia (Galexis)</dc:creator>
  <cp:keywords/>
  <dc:description/>
  <cp:lastModifiedBy>Martin Bösch</cp:lastModifiedBy>
  <cp:revision>4</cp:revision>
  <cp:lastPrinted>2019-09-27T13:27:00Z</cp:lastPrinted>
  <dcterms:created xsi:type="dcterms:W3CDTF">2019-09-27T13:28:00Z</dcterms:created>
  <dcterms:modified xsi:type="dcterms:W3CDTF">2020-08-19T19:26:00Z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